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jc w:val="center"/>
        <w:rPr>
          <w:rFonts w:hint="eastAsia" w:ascii="宋体" w:hAnsi="宋体" w:cs="宋体"/>
          <w:b/>
          <w:bCs/>
          <w:sz w:val="36"/>
          <w:szCs w:val="36"/>
          <w:u w:val="none"/>
        </w:rPr>
      </w:pPr>
      <w:r>
        <w:rPr>
          <w:rFonts w:hint="eastAsia" w:ascii="宋体" w:hAnsi="宋体"/>
          <w:b/>
          <w:sz w:val="36"/>
          <w:szCs w:val="36"/>
        </w:rPr>
        <w:t>项目名称：</w:t>
      </w:r>
      <w:r>
        <w:rPr>
          <w:rFonts w:hint="eastAsia" w:ascii="宋体" w:hAnsi="宋体" w:cs="宋体"/>
          <w:b/>
          <w:bCs/>
          <w:sz w:val="36"/>
          <w:szCs w:val="36"/>
          <w:u w:val="none"/>
        </w:rPr>
        <w:t>HRP银医合作项目采购合同部分系统第三方检测</w:t>
      </w:r>
    </w:p>
    <w:p>
      <w:pPr>
        <w:spacing w:line="560" w:lineRule="exact"/>
        <w:jc w:val="center"/>
        <w:rPr>
          <w:rFonts w:hint="eastAsia" w:ascii="宋体" w:hAnsi="宋体"/>
          <w:b/>
          <w:bCs w:val="0"/>
          <w:sz w:val="36"/>
          <w:szCs w:val="36"/>
        </w:rPr>
      </w:pPr>
      <w:r>
        <w:rPr>
          <w:rFonts w:hint="eastAsia" w:ascii="宋体" w:hAnsi="宋体"/>
          <w:b/>
          <w:bCs w:val="0"/>
          <w:sz w:val="36"/>
          <w:szCs w:val="36"/>
        </w:rPr>
        <w:t>项目编号：</w:t>
      </w:r>
      <w:r>
        <w:rPr>
          <w:rFonts w:hint="eastAsia" w:ascii="宋体" w:hAnsi="宋体" w:cs="宋体"/>
          <w:b/>
          <w:bCs w:val="0"/>
          <w:sz w:val="36"/>
          <w:szCs w:val="36"/>
        </w:rPr>
        <w:t>FWJJ-2024-0</w:t>
      </w:r>
      <w:r>
        <w:rPr>
          <w:rFonts w:hint="eastAsia" w:ascii="宋体" w:hAnsi="宋体" w:cs="宋体"/>
          <w:b/>
          <w:bCs w:val="0"/>
          <w:sz w:val="36"/>
          <w:szCs w:val="36"/>
          <w:lang w:val="en-US" w:eastAsia="zh-CN"/>
        </w:rPr>
        <w:t>17</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38"/>
        <w:gridCol w:w="3548"/>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255"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2082"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1079"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255" w:type="pct"/>
            <w:noWrap w:val="0"/>
            <w:vAlign w:val="center"/>
          </w:tcPr>
          <w:p>
            <w:pPr>
              <w:jc w:val="center"/>
              <w:rPr>
                <w:rFonts w:ascii="宋体" w:hAnsi="宋体" w:cs="宋体"/>
                <w:b w:val="0"/>
                <w:bCs/>
                <w:sz w:val="21"/>
                <w:szCs w:val="21"/>
              </w:rPr>
            </w:pPr>
            <w:r>
              <w:rPr>
                <w:rFonts w:hint="eastAsia" w:ascii="宋体" w:hAnsi="宋体" w:cs="宋体"/>
                <w:b w:val="0"/>
                <w:bCs/>
                <w:sz w:val="21"/>
                <w:szCs w:val="21"/>
              </w:rPr>
              <w:t>FWJJ-2024-0</w:t>
            </w:r>
            <w:r>
              <w:rPr>
                <w:rFonts w:hint="eastAsia" w:ascii="宋体" w:hAnsi="宋体" w:cs="宋体"/>
                <w:b w:val="0"/>
                <w:bCs/>
                <w:sz w:val="21"/>
                <w:szCs w:val="21"/>
                <w:lang w:val="en-US" w:eastAsia="zh-CN"/>
              </w:rPr>
              <w:t>17</w:t>
            </w:r>
          </w:p>
        </w:tc>
        <w:tc>
          <w:tcPr>
            <w:tcW w:w="2082"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cs="宋体"/>
                <w:b w:val="0"/>
                <w:bCs/>
                <w:sz w:val="21"/>
                <w:szCs w:val="21"/>
                <w:u w:val="none"/>
              </w:rPr>
              <w:t>HRP银医合作项目采购合同部分系统第三方检测</w:t>
            </w:r>
            <w:r>
              <w:rPr>
                <w:rFonts w:hint="eastAsia" w:ascii="宋体" w:hAnsi="宋体" w:cs="宋体"/>
                <w:b w:val="0"/>
                <w:bCs/>
                <w:sz w:val="21"/>
                <w:szCs w:val="21"/>
                <w:u w:val="none"/>
                <w:lang w:val="en-US" w:eastAsia="zh-CN"/>
              </w:rPr>
              <w:t>服务</w:t>
            </w:r>
          </w:p>
        </w:tc>
        <w:tc>
          <w:tcPr>
            <w:tcW w:w="1079"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25700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20</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21</w:t>
      </w:r>
      <w:r>
        <w:rPr>
          <w:rFonts w:hint="eastAsia" w:ascii="仿宋_GB2312" w:hAnsi="宋体" w:eastAsia="仿宋_GB2312" w:cs="宋体"/>
          <w:sz w:val="24"/>
        </w:rPr>
        <w:t>日（周</w:t>
      </w:r>
      <w:r>
        <w:rPr>
          <w:rFonts w:hint="eastAsia" w:ascii="仿宋_GB2312" w:hAnsi="宋体" w:eastAsia="仿宋_GB2312" w:cs="宋体"/>
          <w:sz w:val="24"/>
          <w:lang w:val="en-US" w:eastAsia="zh-CN"/>
        </w:rPr>
        <w:t>五</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ind w:firstLine="420" w:firstLineChars="200"/>
              <w:rPr>
                <w:rFonts w:hint="default" w:ascii="宋体" w:hAnsi="宋体" w:eastAsiaTheme="minorEastAsia"/>
                <w:b/>
                <w:sz w:val="21"/>
                <w:szCs w:val="21"/>
                <w:lang w:val="en-US" w:eastAsia="zh-CN"/>
              </w:rPr>
            </w:pPr>
            <w:r>
              <w:rPr>
                <w:rFonts w:hint="eastAsia" w:ascii="宋体" w:hAnsi="宋体"/>
                <w:b w:val="0"/>
                <w:bCs/>
                <w:sz w:val="21"/>
                <w:szCs w:val="21"/>
                <w:lang w:val="en-US" w:eastAsia="zh-CN"/>
              </w:rPr>
              <w:t>对合同《银医合作项目采购合同补充说明》合同编号FWHT-JS202300774，约定置换后的内容，完成建设后进行第三方检测服务，包括功能和性能测频，并出具测评报告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2</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pPr>
              <w:ind w:firstLine="420" w:firstLineChars="200"/>
              <w:jc w:val="left"/>
              <w:rPr>
                <w:rFonts w:ascii="宋体" w:hAnsi="宋体"/>
                <w:b/>
                <w:sz w:val="21"/>
                <w:szCs w:val="21"/>
              </w:rPr>
            </w:pPr>
            <w:r>
              <w:rPr>
                <w:rFonts w:hint="eastAsia" w:ascii="宋体" w:hAnsi="宋体"/>
                <w:b w:val="0"/>
                <w:bCs/>
                <w:sz w:val="21"/>
                <w:szCs w:val="21"/>
                <w:lang w:val="en-US" w:eastAsia="zh-CN"/>
              </w:rPr>
              <w:t>银医合作项目采购合同中OES-科室成本管理系统6.2升级服务、基于叠加法的DIP成本管理系统、基于运营口径的科室成本核算服务三个子系统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3</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pPr>
              <w:ind w:firstLine="420" w:firstLineChars="200"/>
              <w:rPr>
                <w:rFonts w:ascii="宋体" w:hAnsi="宋体"/>
                <w:b/>
                <w:sz w:val="21"/>
                <w:szCs w:val="21"/>
              </w:rPr>
            </w:pPr>
            <w:r>
              <w:rPr>
                <w:rFonts w:hint="eastAsia" w:ascii="宋体" w:hAnsi="宋体"/>
                <w:b w:val="0"/>
                <w:bCs/>
                <w:sz w:val="21"/>
                <w:szCs w:val="21"/>
                <w:lang w:val="en-US" w:eastAsia="zh-CN"/>
              </w:rPr>
              <w:t>对银医合作项目采购合同中的</w:t>
            </w:r>
            <w:r>
              <w:rPr>
                <w:rFonts w:hint="default" w:ascii="宋体" w:hAnsi="宋体"/>
                <w:b w:val="0"/>
                <w:bCs/>
                <w:sz w:val="21"/>
                <w:szCs w:val="21"/>
                <w:lang w:val="en-US" w:eastAsia="zh-CN"/>
              </w:rPr>
              <w:t>OES-</w:t>
            </w:r>
            <w:r>
              <w:rPr>
                <w:rFonts w:hint="eastAsia" w:ascii="宋体" w:hAnsi="宋体"/>
                <w:b w:val="0"/>
                <w:bCs/>
                <w:sz w:val="21"/>
                <w:szCs w:val="21"/>
                <w:lang w:val="en-US" w:eastAsia="zh-CN"/>
              </w:rPr>
              <w:t>科室成本管理系统6.2升级服务</w:t>
            </w:r>
            <w:r>
              <w:rPr>
                <w:rFonts w:hint="default" w:ascii="宋体" w:hAnsi="宋体"/>
                <w:b w:val="0"/>
                <w:bCs/>
                <w:sz w:val="21"/>
                <w:szCs w:val="21"/>
                <w:lang w:val="en-US" w:eastAsia="zh-CN"/>
              </w:rPr>
              <w:t>、</w:t>
            </w:r>
            <w:r>
              <w:rPr>
                <w:rFonts w:hint="eastAsia" w:ascii="宋体" w:hAnsi="宋体"/>
                <w:b w:val="0"/>
                <w:bCs/>
                <w:sz w:val="21"/>
                <w:szCs w:val="21"/>
                <w:lang w:val="en-US" w:eastAsia="zh-CN"/>
              </w:rPr>
              <w:t>基于叠加法的DIP成本管理系统</w:t>
            </w:r>
            <w:r>
              <w:rPr>
                <w:rFonts w:hint="default" w:ascii="宋体" w:hAnsi="宋体"/>
                <w:b w:val="0"/>
                <w:bCs/>
                <w:sz w:val="21"/>
                <w:szCs w:val="21"/>
                <w:lang w:val="en-US" w:eastAsia="zh-CN"/>
              </w:rPr>
              <w:t>、</w:t>
            </w:r>
            <w:r>
              <w:rPr>
                <w:rFonts w:hint="eastAsia" w:ascii="宋体" w:hAnsi="宋体"/>
                <w:b w:val="0"/>
                <w:bCs/>
                <w:sz w:val="21"/>
                <w:szCs w:val="21"/>
                <w:lang w:val="en-US" w:eastAsia="zh-CN"/>
              </w:rPr>
              <w:t>基于运营口径的科室成本核算服务进行功能和性能测评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4</w:t>
            </w:r>
          </w:p>
        </w:tc>
        <w:tc>
          <w:tcPr>
            <w:tcW w:w="1417" w:type="dxa"/>
            <w:vAlign w:val="center"/>
          </w:tcPr>
          <w:p>
            <w:pPr>
              <w:jc w:val="center"/>
              <w:rPr>
                <w:rFonts w:ascii="宋体" w:hAnsi="宋体"/>
                <w:b/>
                <w:bCs/>
                <w:szCs w:val="21"/>
              </w:rPr>
            </w:pPr>
            <w:r>
              <w:rPr>
                <w:rFonts w:hint="eastAsia" w:ascii="宋体" w:hAnsi="宋体"/>
                <w:b/>
                <w:bCs/>
                <w:szCs w:val="21"/>
              </w:rPr>
              <w:t>人员要求</w:t>
            </w:r>
          </w:p>
        </w:tc>
        <w:tc>
          <w:tcPr>
            <w:tcW w:w="6395" w:type="dxa"/>
            <w:vAlign w:val="center"/>
          </w:tcPr>
          <w:p>
            <w:pPr>
              <w:rPr>
                <w:rFonts w:hint="default" w:ascii="宋体" w:hAnsi="宋体" w:eastAsiaTheme="minorEastAsia"/>
                <w:b/>
                <w:sz w:val="21"/>
                <w:szCs w:val="21"/>
                <w:lang w:val="en-US" w:eastAsia="zh-CN"/>
              </w:rPr>
            </w:pPr>
            <w:r>
              <w:rPr>
                <w:rFonts w:hint="eastAsia" w:ascii="宋体" w:hAnsi="宋体"/>
                <w:b w:val="0"/>
                <w:bCs/>
                <w:sz w:val="21"/>
                <w:szCs w:val="21"/>
                <w:lang w:val="en-US" w:eastAsia="zh-CN"/>
              </w:rPr>
              <w:t>成立不低于2人测评团队，成员中负责人需要具备软件评测师证书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 w:type="dxa"/>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1417" w:type="dxa"/>
            <w:vAlign w:val="center"/>
          </w:tcPr>
          <w:p>
            <w:pPr>
              <w:jc w:val="center"/>
              <w:rPr>
                <w:rFonts w:ascii="宋体" w:hAnsi="宋体"/>
                <w:b/>
                <w:szCs w:val="21"/>
              </w:rPr>
            </w:pPr>
            <w:r>
              <w:rPr>
                <w:rFonts w:hint="eastAsia" w:ascii="宋体" w:hAnsi="宋体" w:cs="宋体"/>
                <w:b/>
                <w:kern w:val="0"/>
                <w:szCs w:val="21"/>
              </w:rPr>
              <w:t>成果要求</w:t>
            </w:r>
          </w:p>
        </w:tc>
        <w:tc>
          <w:tcPr>
            <w:tcW w:w="6395" w:type="dxa"/>
            <w:vAlign w:val="center"/>
          </w:tcPr>
          <w:p>
            <w:pPr>
              <w:rPr>
                <w:rFonts w:hint="default" w:ascii="宋体" w:hAnsi="宋体" w:eastAsiaTheme="minorEastAsia"/>
                <w:b/>
                <w:sz w:val="21"/>
                <w:szCs w:val="21"/>
                <w:lang w:val="en-US" w:eastAsia="zh-CN"/>
              </w:rPr>
            </w:pPr>
            <w:r>
              <w:rPr>
                <w:rFonts w:hint="eastAsia" w:ascii="宋体" w:hAnsi="宋体"/>
                <w:b w:val="0"/>
                <w:bCs/>
                <w:sz w:val="21"/>
                <w:szCs w:val="21"/>
                <w:lang w:val="en-US" w:eastAsia="zh-CN"/>
              </w:rPr>
              <w:t>第三方验收测评报告(盖章纸质版2份，电子版1份）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417" w:type="dxa"/>
            <w:vAlign w:val="center"/>
          </w:tcPr>
          <w:p>
            <w:pPr>
              <w:jc w:val="center"/>
              <w:rPr>
                <w:rFonts w:ascii="宋体" w:hAnsi="宋体"/>
                <w:b/>
                <w:szCs w:val="21"/>
              </w:rPr>
            </w:pPr>
            <w:r>
              <w:rPr>
                <w:rFonts w:hint="eastAsia" w:ascii="宋体" w:hAnsi="宋体" w:cs="宋体"/>
                <w:b/>
                <w:kern w:val="0"/>
                <w:szCs w:val="21"/>
              </w:rPr>
              <w:t>其他要求</w:t>
            </w:r>
          </w:p>
        </w:tc>
        <w:tc>
          <w:tcPr>
            <w:tcW w:w="6395" w:type="dxa"/>
            <w:vAlign w:val="center"/>
          </w:tcPr>
          <w:p>
            <w:pPr>
              <w:ind w:firstLine="420" w:firstLineChars="200"/>
              <w:rPr>
                <w:rFonts w:ascii="宋体" w:hAnsi="宋体"/>
                <w:b/>
                <w:sz w:val="21"/>
                <w:szCs w:val="21"/>
              </w:rPr>
            </w:pPr>
            <w:r>
              <w:rPr>
                <w:rFonts w:hint="eastAsia" w:ascii="宋体" w:hAnsi="宋体"/>
                <w:b w:val="0"/>
                <w:bCs/>
                <w:sz w:val="21"/>
                <w:szCs w:val="21"/>
                <w:lang w:val="en-US" w:eastAsia="zh-CN"/>
              </w:rPr>
              <w:t>完成首次检测之后，通过书面或者邮件形式向甲方出具《检测问题单》。甲方应当在《检测问题单》签发日期起一个月内完成整改，整改完成之后以书面或者邮件形式通知乙方。接到通知15天内乙方提供一次回归测试，并出具相应结论的检测报告</w:t>
            </w:r>
          </w:p>
        </w:tc>
      </w:tr>
    </w:tbl>
    <w:p>
      <w:pPr>
        <w:numPr>
          <w:ilvl w:val="0"/>
          <w:numId w:val="0"/>
        </w:numPr>
        <w:spacing w:line="560" w:lineRule="exact"/>
        <w:rPr>
          <w:rFonts w:hint="eastAsia" w:ascii="黑体" w:hAnsi="黑体" w:eastAsia="黑体" w:cs="宋体"/>
          <w:bCs/>
          <w:sz w:val="24"/>
        </w:rPr>
      </w:pPr>
    </w:p>
    <w:p>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74"/>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2" w:type="dxa"/>
            <w:vAlign w:val="center"/>
          </w:tcPr>
          <w:p>
            <w:pPr>
              <w:jc w:val="center"/>
              <w:rPr>
                <w:rFonts w:ascii="宋体" w:hAnsi="宋体" w:cs="宋体"/>
                <w:b/>
                <w:bCs/>
                <w:kern w:val="0"/>
                <w:szCs w:val="21"/>
              </w:rPr>
            </w:pPr>
            <w:r>
              <w:rPr>
                <w:rFonts w:hint="eastAsia" w:ascii="宋体" w:hAnsi="宋体"/>
                <w:b/>
                <w:szCs w:val="21"/>
              </w:rPr>
              <w:t>序号</w:t>
            </w:r>
          </w:p>
        </w:tc>
        <w:tc>
          <w:tcPr>
            <w:tcW w:w="1574"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12" w:type="dxa"/>
            <w:vAlign w:val="center"/>
          </w:tcPr>
          <w:p>
            <w:pPr>
              <w:jc w:val="center"/>
              <w:rPr>
                <w:rFonts w:ascii="宋体" w:hAnsi="宋体" w:cs="宋体"/>
                <w:kern w:val="0"/>
                <w:szCs w:val="21"/>
              </w:rPr>
            </w:pPr>
            <w:r>
              <w:rPr>
                <w:rFonts w:hint="eastAsia" w:ascii="宋体" w:hAnsi="宋体" w:cs="宋体"/>
                <w:kern w:val="0"/>
                <w:szCs w:val="21"/>
              </w:rPr>
              <w:t>1</w:t>
            </w:r>
          </w:p>
        </w:tc>
        <w:tc>
          <w:tcPr>
            <w:tcW w:w="1574"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pPr>
              <w:spacing w:line="440" w:lineRule="exact"/>
              <w:outlineLvl w:val="0"/>
              <w:rPr>
                <w:rFonts w:ascii="宋体" w:hAnsi="宋体"/>
                <w:bCs/>
                <w:sz w:val="21"/>
                <w:szCs w:val="21"/>
              </w:rPr>
            </w:pPr>
            <w:r>
              <w:rPr>
                <w:rFonts w:hint="eastAsia" w:ascii="MS Mincho" w:hAnsi="MS Mincho" w:eastAsia="MS Mincho" w:cs="MS Mincho"/>
                <w:sz w:val="21"/>
                <w:szCs w:val="21"/>
              </w:rPr>
              <w:t>☑</w:t>
            </w:r>
            <w:r>
              <w:rPr>
                <w:rFonts w:hint="eastAsia" w:ascii="宋体" w:hAnsi="宋体" w:cs="宋体"/>
                <w:b/>
                <w:kern w:val="0"/>
                <w:sz w:val="21"/>
                <w:szCs w:val="21"/>
              </w:rPr>
              <w:t>标准：</w:t>
            </w:r>
            <w:r>
              <w:rPr>
                <w:rFonts w:hint="eastAsia" w:ascii="宋体" w:hAnsi="宋体"/>
                <w:bCs/>
                <w:sz w:val="21"/>
                <w:szCs w:val="21"/>
              </w:rPr>
              <w:t>投标总价（人民币）须是完成该项目的一切费用总和；</w:t>
            </w:r>
          </w:p>
          <w:p>
            <w:pPr>
              <w:spacing w:line="440" w:lineRule="exact"/>
              <w:rPr>
                <w:rFonts w:ascii="宋体" w:hAnsi="宋体"/>
                <w:bCs/>
                <w:sz w:val="21"/>
                <w:szCs w:val="21"/>
              </w:rPr>
            </w:pPr>
            <w:r>
              <w:rPr>
                <w:rFonts w:hint="eastAsia" w:ascii="宋体" w:hAnsi="宋体"/>
                <w:bCs/>
                <w:sz w:val="21"/>
                <w:szCs w:val="21"/>
              </w:rPr>
              <w:t>本项目服务费采用包干制，应包括服务成本、法定税费和企业的利润。</w:t>
            </w:r>
          </w:p>
          <w:p>
            <w:pPr>
              <w:outlineLvl w:val="0"/>
              <w:rPr>
                <w:rFonts w:ascii="宋体" w:hAnsi="宋体" w:cs="宋体"/>
                <w:b/>
                <w:kern w:val="0"/>
                <w:sz w:val="21"/>
                <w:szCs w:val="21"/>
              </w:rPr>
            </w:pPr>
            <w:r>
              <w:rPr>
                <w:rFonts w:hint="eastAsia" w:ascii="宋体" w:hAnsi="宋体" w:cs="宋体"/>
                <w:b/>
                <w:kern w:val="0"/>
                <w:sz w:val="21"/>
                <w:szCs w:val="21"/>
              </w:rPr>
              <w:t>若内容有单项限价的请按以下表格填写：</w:t>
            </w:r>
          </w:p>
          <w:tbl>
            <w:tblPr>
              <w:tblStyle w:val="26"/>
              <w:tblW w:w="6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2224"/>
              <w:gridCol w:w="434"/>
              <w:gridCol w:w="516"/>
              <w:gridCol w:w="834"/>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22" w:type="dxa"/>
                  <w:vAlign w:val="center"/>
                </w:tcPr>
                <w:p>
                  <w:pPr>
                    <w:spacing w:line="440" w:lineRule="exact"/>
                    <w:jc w:val="center"/>
                    <w:rPr>
                      <w:rFonts w:ascii="宋体" w:hAnsi="宋体" w:cs="宋体"/>
                      <w:bCs/>
                      <w:color w:val="auto"/>
                      <w:sz w:val="21"/>
                      <w:szCs w:val="21"/>
                    </w:rPr>
                  </w:pPr>
                  <w:r>
                    <w:rPr>
                      <w:rFonts w:hint="eastAsia" w:ascii="宋体" w:hAnsi="宋体" w:cs="宋体"/>
                      <w:bCs/>
                      <w:color w:val="auto"/>
                      <w:sz w:val="21"/>
                      <w:szCs w:val="21"/>
                    </w:rPr>
                    <w:t>序号</w:t>
                  </w:r>
                </w:p>
              </w:tc>
              <w:tc>
                <w:tcPr>
                  <w:tcW w:w="2224" w:type="dxa"/>
                  <w:vAlign w:val="center"/>
                </w:tcPr>
                <w:p>
                  <w:pPr>
                    <w:spacing w:line="440" w:lineRule="exact"/>
                    <w:jc w:val="center"/>
                    <w:rPr>
                      <w:rFonts w:ascii="宋体" w:hAnsi="宋体" w:cs="宋体"/>
                      <w:b w:val="0"/>
                      <w:bCs/>
                      <w:color w:val="auto"/>
                      <w:sz w:val="21"/>
                      <w:szCs w:val="21"/>
                    </w:rPr>
                  </w:pPr>
                  <w:r>
                    <w:rPr>
                      <w:rFonts w:hint="eastAsia" w:ascii="宋体" w:hAnsi="宋体" w:cs="宋体"/>
                      <w:b w:val="0"/>
                      <w:bCs/>
                      <w:color w:val="auto"/>
                      <w:sz w:val="21"/>
                      <w:szCs w:val="21"/>
                    </w:rPr>
                    <w:t>服务分项名称</w:t>
                  </w:r>
                </w:p>
              </w:tc>
              <w:tc>
                <w:tcPr>
                  <w:tcW w:w="434" w:type="dxa"/>
                  <w:vAlign w:val="center"/>
                </w:tcPr>
                <w:p>
                  <w:pPr>
                    <w:spacing w:line="440" w:lineRule="exact"/>
                    <w:jc w:val="center"/>
                    <w:rPr>
                      <w:rFonts w:ascii="宋体" w:hAnsi="宋体" w:cs="宋体"/>
                      <w:bCs/>
                      <w:color w:val="auto"/>
                      <w:sz w:val="21"/>
                      <w:szCs w:val="21"/>
                    </w:rPr>
                  </w:pPr>
                  <w:r>
                    <w:rPr>
                      <w:rFonts w:hint="eastAsia" w:ascii="宋体" w:hAnsi="宋体" w:cs="宋体"/>
                      <w:bCs/>
                      <w:color w:val="auto"/>
                      <w:sz w:val="21"/>
                      <w:szCs w:val="21"/>
                    </w:rPr>
                    <w:t>数量</w:t>
                  </w:r>
                </w:p>
              </w:tc>
              <w:tc>
                <w:tcPr>
                  <w:tcW w:w="516" w:type="dxa"/>
                  <w:vAlign w:val="center"/>
                </w:tcPr>
                <w:p>
                  <w:pPr>
                    <w:spacing w:line="440" w:lineRule="exact"/>
                    <w:jc w:val="center"/>
                    <w:rPr>
                      <w:rFonts w:ascii="宋体" w:hAnsi="宋体" w:cs="宋体"/>
                      <w:bCs/>
                      <w:color w:val="auto"/>
                      <w:sz w:val="21"/>
                      <w:szCs w:val="21"/>
                    </w:rPr>
                  </w:pPr>
                  <w:r>
                    <w:rPr>
                      <w:rFonts w:hint="eastAsia" w:ascii="宋体" w:hAnsi="宋体" w:cs="宋体"/>
                      <w:bCs/>
                      <w:color w:val="auto"/>
                      <w:sz w:val="21"/>
                      <w:szCs w:val="21"/>
                    </w:rPr>
                    <w:t>单位</w:t>
                  </w:r>
                </w:p>
              </w:tc>
              <w:tc>
                <w:tcPr>
                  <w:tcW w:w="834" w:type="dxa"/>
                  <w:vAlign w:val="center"/>
                </w:tcPr>
                <w:p>
                  <w:pPr>
                    <w:spacing w:line="440" w:lineRule="exact"/>
                    <w:jc w:val="center"/>
                    <w:rPr>
                      <w:rFonts w:ascii="宋体" w:hAnsi="宋体" w:cs="宋体"/>
                      <w:bCs/>
                      <w:color w:val="auto"/>
                      <w:sz w:val="21"/>
                      <w:szCs w:val="21"/>
                    </w:rPr>
                  </w:pPr>
                  <w:r>
                    <w:rPr>
                      <w:rFonts w:ascii="宋体" w:hAnsi="宋体" w:cs="宋体"/>
                      <w:bCs/>
                      <w:color w:val="auto"/>
                      <w:sz w:val="21"/>
                      <w:szCs w:val="21"/>
                    </w:rPr>
                    <w:t>单项</w:t>
                  </w:r>
                </w:p>
                <w:p>
                  <w:pPr>
                    <w:spacing w:line="440" w:lineRule="exact"/>
                    <w:jc w:val="center"/>
                    <w:rPr>
                      <w:rFonts w:ascii="宋体" w:hAnsi="宋体" w:cs="宋体"/>
                      <w:bCs/>
                      <w:color w:val="auto"/>
                      <w:sz w:val="21"/>
                      <w:szCs w:val="21"/>
                    </w:rPr>
                  </w:pPr>
                  <w:r>
                    <w:rPr>
                      <w:rFonts w:ascii="宋体" w:hAnsi="宋体" w:cs="宋体"/>
                      <w:bCs/>
                      <w:color w:val="auto"/>
                      <w:sz w:val="21"/>
                      <w:szCs w:val="21"/>
                    </w:rPr>
                    <w:t>限价</w:t>
                  </w:r>
                </w:p>
              </w:tc>
              <w:tc>
                <w:tcPr>
                  <w:tcW w:w="1526" w:type="dxa"/>
                  <w:vAlign w:val="center"/>
                </w:tcPr>
                <w:p>
                  <w:pPr>
                    <w:spacing w:line="360" w:lineRule="auto"/>
                    <w:jc w:val="center"/>
                    <w:rPr>
                      <w:rFonts w:ascii="宋体" w:hAnsi="宋体" w:cs="宋体"/>
                      <w:bCs/>
                      <w:color w:val="auto"/>
                      <w:sz w:val="21"/>
                      <w:szCs w:val="21"/>
                    </w:rPr>
                  </w:pPr>
                  <w:r>
                    <w:rPr>
                      <w:rFonts w:hint="eastAsia" w:ascii="宋体" w:hAnsi="宋体" w:cs="宋体"/>
                      <w:b w:val="0"/>
                      <w:bCs/>
                      <w:color w:val="auto"/>
                      <w:sz w:val="21"/>
                      <w:szCs w:val="21"/>
                    </w:rPr>
                    <w:t>投标最高限价（元）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22" w:type="dxa"/>
                  <w:vAlign w:val="center"/>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1</w:t>
                  </w:r>
                </w:p>
              </w:tc>
              <w:tc>
                <w:tcPr>
                  <w:tcW w:w="2224" w:type="dxa"/>
                  <w:vAlign w:val="center"/>
                </w:tcPr>
                <w:p>
                  <w:pPr>
                    <w:spacing w:line="360" w:lineRule="auto"/>
                    <w:rPr>
                      <w:rFonts w:ascii="宋体" w:hAnsi="宋体" w:cs="宋体"/>
                      <w:b w:val="0"/>
                      <w:bCs/>
                      <w:color w:val="auto"/>
                      <w:sz w:val="21"/>
                      <w:szCs w:val="21"/>
                      <w:highlight w:val="yellow"/>
                    </w:rPr>
                  </w:pPr>
                  <w:r>
                    <w:rPr>
                      <w:rFonts w:hint="default" w:eastAsia="宋体"/>
                      <w:b w:val="0"/>
                      <w:bCs/>
                      <w:color w:val="auto"/>
                      <w:sz w:val="21"/>
                      <w:szCs w:val="21"/>
                      <w:vertAlign w:val="baseline"/>
                      <w:lang w:val="en-US" w:eastAsia="zh-CN"/>
                    </w:rPr>
                    <w:t>OES-</w:t>
                  </w:r>
                  <w:r>
                    <w:rPr>
                      <w:rFonts w:hint="eastAsia"/>
                      <w:b w:val="0"/>
                      <w:bCs/>
                      <w:color w:val="auto"/>
                      <w:sz w:val="21"/>
                      <w:szCs w:val="21"/>
                      <w:vertAlign w:val="baseline"/>
                      <w:lang w:val="en-US" w:eastAsia="zh-CN"/>
                    </w:rPr>
                    <w:t>科室成本管理系统6.2升级服务</w:t>
                  </w:r>
                </w:p>
              </w:tc>
              <w:tc>
                <w:tcPr>
                  <w:tcW w:w="434" w:type="dxa"/>
                  <w:vAlign w:val="center"/>
                </w:tcPr>
                <w:p>
                  <w:pPr>
                    <w:spacing w:line="360" w:lineRule="auto"/>
                    <w:jc w:val="center"/>
                    <w:rPr>
                      <w:rFonts w:hint="eastAsia" w:ascii="宋体" w:hAnsi="宋体" w:cs="宋体" w:eastAsiaTheme="minorEastAsia"/>
                      <w:bCs/>
                      <w:color w:val="auto"/>
                      <w:sz w:val="21"/>
                      <w:szCs w:val="21"/>
                      <w:lang w:val="en-US" w:eastAsia="zh-CN"/>
                    </w:rPr>
                  </w:pPr>
                  <w:r>
                    <w:rPr>
                      <w:rFonts w:hint="eastAsia" w:ascii="宋体" w:hAnsi="宋体" w:cs="宋体"/>
                      <w:bCs/>
                      <w:color w:val="auto"/>
                      <w:sz w:val="21"/>
                      <w:szCs w:val="21"/>
                      <w:lang w:val="en-US" w:eastAsia="zh-CN"/>
                    </w:rPr>
                    <w:t>1</w:t>
                  </w:r>
                </w:p>
              </w:tc>
              <w:tc>
                <w:tcPr>
                  <w:tcW w:w="516" w:type="dxa"/>
                  <w:vAlign w:val="center"/>
                </w:tcPr>
                <w:p>
                  <w:pPr>
                    <w:spacing w:line="360" w:lineRule="auto"/>
                    <w:jc w:val="center"/>
                    <w:rPr>
                      <w:rFonts w:hint="eastAsia" w:ascii="宋体" w:hAnsi="宋体" w:cs="宋体" w:eastAsiaTheme="minorEastAsia"/>
                      <w:bCs/>
                      <w:color w:val="auto"/>
                      <w:sz w:val="21"/>
                      <w:szCs w:val="21"/>
                      <w:lang w:val="en-US" w:eastAsia="zh-CN"/>
                    </w:rPr>
                  </w:pPr>
                  <w:r>
                    <w:rPr>
                      <w:rFonts w:hint="eastAsia" w:ascii="宋体" w:hAnsi="宋体" w:cs="宋体"/>
                      <w:bCs/>
                      <w:color w:val="auto"/>
                      <w:sz w:val="21"/>
                      <w:szCs w:val="21"/>
                      <w:lang w:val="en-US" w:eastAsia="zh-CN"/>
                    </w:rPr>
                    <w:t>项</w:t>
                  </w:r>
                </w:p>
              </w:tc>
              <w:tc>
                <w:tcPr>
                  <w:tcW w:w="834" w:type="dxa"/>
                  <w:vAlign w:val="center"/>
                </w:tcPr>
                <w:p>
                  <w:pPr>
                    <w:spacing w:line="360" w:lineRule="auto"/>
                    <w:jc w:val="center"/>
                    <w:rPr>
                      <w:rFonts w:hint="default" w:ascii="宋体" w:hAnsi="宋体" w:cs="宋体" w:eastAsiaTheme="minorEastAsia"/>
                      <w:bCs/>
                      <w:color w:val="auto"/>
                      <w:sz w:val="21"/>
                      <w:szCs w:val="21"/>
                      <w:lang w:val="en-US" w:eastAsia="zh-CN"/>
                    </w:rPr>
                  </w:pPr>
                  <w:r>
                    <w:rPr>
                      <w:rFonts w:hint="eastAsia" w:ascii="宋体" w:hAnsi="宋体" w:cs="宋体"/>
                      <w:bCs/>
                      <w:color w:val="auto"/>
                      <w:sz w:val="21"/>
                      <w:szCs w:val="21"/>
                      <w:lang w:val="en-US" w:eastAsia="zh-CN"/>
                    </w:rPr>
                    <w:t>5930</w:t>
                  </w:r>
                </w:p>
              </w:tc>
              <w:tc>
                <w:tcPr>
                  <w:tcW w:w="1526" w:type="dxa"/>
                  <w:vMerge w:val="restart"/>
                  <w:vAlign w:val="center"/>
                </w:tcPr>
                <w:p>
                  <w:pPr>
                    <w:spacing w:line="360" w:lineRule="auto"/>
                    <w:jc w:val="center"/>
                    <w:rPr>
                      <w:rFonts w:hint="default" w:ascii="宋体" w:hAnsi="宋体" w:cs="宋体" w:eastAsiaTheme="minorEastAsia"/>
                      <w:bCs/>
                      <w:color w:val="auto"/>
                      <w:sz w:val="21"/>
                      <w:szCs w:val="21"/>
                      <w:lang w:val="en-US" w:eastAsia="zh-CN"/>
                    </w:rPr>
                  </w:pPr>
                  <w:r>
                    <w:rPr>
                      <w:rFonts w:hint="eastAsia" w:ascii="宋体" w:hAnsi="宋体" w:cs="宋体"/>
                      <w:color w:val="auto"/>
                      <w:sz w:val="21"/>
                      <w:szCs w:val="21"/>
                      <w:highlight w:val="none"/>
                      <w:lang w:val="en-US" w:eastAsia="zh-CN"/>
                    </w:rPr>
                    <w:t>25700.00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22" w:type="dxa"/>
                </w:tcPr>
                <w:p>
                  <w:pPr>
                    <w:spacing w:line="360" w:lineRule="auto"/>
                    <w:jc w:val="center"/>
                    <w:rPr>
                      <w:rFonts w:ascii="宋体" w:hAnsi="宋体" w:cs="宋体"/>
                      <w:bCs/>
                      <w:color w:val="auto"/>
                      <w:sz w:val="21"/>
                      <w:szCs w:val="21"/>
                    </w:rPr>
                  </w:pPr>
                  <w:r>
                    <w:rPr>
                      <w:rFonts w:hint="eastAsia" w:ascii="宋体" w:hAnsi="宋体" w:cs="宋体"/>
                      <w:bCs/>
                      <w:color w:val="auto"/>
                      <w:sz w:val="21"/>
                      <w:szCs w:val="21"/>
                    </w:rPr>
                    <w:t>2</w:t>
                  </w:r>
                </w:p>
              </w:tc>
              <w:tc>
                <w:tcPr>
                  <w:tcW w:w="2224" w:type="dxa"/>
                </w:tcPr>
                <w:p>
                  <w:pPr>
                    <w:spacing w:line="360" w:lineRule="auto"/>
                    <w:rPr>
                      <w:rFonts w:ascii="宋体" w:hAnsi="宋体" w:cs="宋体"/>
                      <w:b w:val="0"/>
                      <w:bCs/>
                      <w:color w:val="auto"/>
                      <w:sz w:val="21"/>
                      <w:szCs w:val="21"/>
                      <w:highlight w:val="yellow"/>
                    </w:rPr>
                  </w:pPr>
                  <w:r>
                    <w:rPr>
                      <w:rFonts w:hint="eastAsia"/>
                      <w:b w:val="0"/>
                      <w:bCs/>
                      <w:color w:val="auto"/>
                      <w:sz w:val="21"/>
                      <w:szCs w:val="21"/>
                      <w:vertAlign w:val="baseline"/>
                      <w:lang w:val="en-US" w:eastAsia="zh-CN"/>
                    </w:rPr>
                    <w:t>基于叠加法的DIP成本管理系统</w:t>
                  </w:r>
                </w:p>
              </w:tc>
              <w:tc>
                <w:tcPr>
                  <w:tcW w:w="434" w:type="dxa"/>
                </w:tcPr>
                <w:p>
                  <w:pPr>
                    <w:spacing w:line="360" w:lineRule="auto"/>
                    <w:jc w:val="center"/>
                    <w:rPr>
                      <w:rFonts w:hint="eastAsia" w:ascii="宋体" w:hAnsi="宋体" w:cs="宋体" w:eastAsiaTheme="minorEastAsia"/>
                      <w:bCs/>
                      <w:color w:val="auto"/>
                      <w:sz w:val="21"/>
                      <w:szCs w:val="21"/>
                      <w:lang w:val="en-US" w:eastAsia="zh-CN"/>
                    </w:rPr>
                  </w:pPr>
                  <w:r>
                    <w:rPr>
                      <w:rFonts w:hint="eastAsia" w:ascii="宋体" w:hAnsi="宋体" w:cs="宋体"/>
                      <w:bCs/>
                      <w:color w:val="auto"/>
                      <w:sz w:val="21"/>
                      <w:szCs w:val="21"/>
                      <w:lang w:val="en-US" w:eastAsia="zh-CN"/>
                    </w:rPr>
                    <w:t>1</w:t>
                  </w:r>
                </w:p>
              </w:tc>
              <w:tc>
                <w:tcPr>
                  <w:tcW w:w="516" w:type="dxa"/>
                </w:tcPr>
                <w:p>
                  <w:pPr>
                    <w:spacing w:line="360" w:lineRule="auto"/>
                    <w:jc w:val="center"/>
                    <w:rPr>
                      <w:rFonts w:hint="eastAsia" w:ascii="宋体" w:hAnsi="宋体" w:cs="宋体" w:eastAsiaTheme="minorEastAsia"/>
                      <w:bCs/>
                      <w:color w:val="auto"/>
                      <w:sz w:val="21"/>
                      <w:szCs w:val="21"/>
                      <w:lang w:val="en-US" w:eastAsia="zh-CN"/>
                    </w:rPr>
                  </w:pPr>
                  <w:r>
                    <w:rPr>
                      <w:rFonts w:hint="eastAsia" w:ascii="宋体" w:hAnsi="宋体" w:cs="宋体"/>
                      <w:bCs/>
                      <w:color w:val="auto"/>
                      <w:sz w:val="21"/>
                      <w:szCs w:val="21"/>
                      <w:lang w:val="en-US" w:eastAsia="zh-CN"/>
                    </w:rPr>
                    <w:t>项</w:t>
                  </w:r>
                </w:p>
              </w:tc>
              <w:tc>
                <w:tcPr>
                  <w:tcW w:w="834" w:type="dxa"/>
                </w:tcPr>
                <w:p>
                  <w:pPr>
                    <w:spacing w:line="360" w:lineRule="auto"/>
                    <w:jc w:val="center"/>
                    <w:rPr>
                      <w:rFonts w:hint="default" w:ascii="宋体" w:hAnsi="宋体" w:cs="宋体" w:eastAsiaTheme="minorEastAsia"/>
                      <w:bCs/>
                      <w:color w:val="auto"/>
                      <w:sz w:val="21"/>
                      <w:szCs w:val="21"/>
                      <w:lang w:val="en-US" w:eastAsia="zh-CN"/>
                    </w:rPr>
                  </w:pPr>
                  <w:r>
                    <w:rPr>
                      <w:rFonts w:hint="eastAsia" w:ascii="宋体" w:hAnsi="宋体" w:cs="宋体"/>
                      <w:bCs/>
                      <w:color w:val="auto"/>
                      <w:sz w:val="21"/>
                      <w:szCs w:val="21"/>
                      <w:lang w:val="en-US" w:eastAsia="zh-CN"/>
                    </w:rPr>
                    <w:t>7910</w:t>
                  </w:r>
                </w:p>
              </w:tc>
              <w:tc>
                <w:tcPr>
                  <w:tcW w:w="1526" w:type="dxa"/>
                  <w:vMerge w:val="continue"/>
                </w:tcPr>
                <w:p>
                  <w:pPr>
                    <w:spacing w:line="360" w:lineRule="auto"/>
                    <w:jc w:val="center"/>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22" w:type="dxa"/>
                </w:tcPr>
                <w:p>
                  <w:pPr>
                    <w:spacing w:line="360" w:lineRule="auto"/>
                    <w:jc w:val="center"/>
                    <w:rPr>
                      <w:rFonts w:hint="eastAsia" w:ascii="宋体" w:hAnsi="宋体" w:cs="宋体" w:eastAsiaTheme="minorEastAsia"/>
                      <w:bCs/>
                      <w:color w:val="auto"/>
                      <w:sz w:val="21"/>
                      <w:szCs w:val="21"/>
                      <w:lang w:val="en-US" w:eastAsia="zh-CN"/>
                    </w:rPr>
                  </w:pPr>
                  <w:r>
                    <w:rPr>
                      <w:rFonts w:hint="eastAsia" w:ascii="宋体" w:hAnsi="宋体" w:cs="宋体"/>
                      <w:bCs/>
                      <w:color w:val="auto"/>
                      <w:sz w:val="21"/>
                      <w:szCs w:val="21"/>
                      <w:lang w:val="en-US" w:eastAsia="zh-CN"/>
                    </w:rPr>
                    <w:t>3</w:t>
                  </w:r>
                </w:p>
              </w:tc>
              <w:tc>
                <w:tcPr>
                  <w:tcW w:w="2224" w:type="dxa"/>
                </w:tcPr>
                <w:p>
                  <w:pPr>
                    <w:spacing w:line="360" w:lineRule="auto"/>
                    <w:jc w:val="left"/>
                    <w:rPr>
                      <w:rFonts w:ascii="宋体" w:hAnsi="宋体" w:cs="宋体"/>
                      <w:b w:val="0"/>
                      <w:bCs/>
                      <w:color w:val="auto"/>
                      <w:sz w:val="21"/>
                      <w:szCs w:val="21"/>
                      <w:highlight w:val="yellow"/>
                    </w:rPr>
                  </w:pPr>
                  <w:r>
                    <w:rPr>
                      <w:rFonts w:hint="eastAsia"/>
                      <w:b w:val="0"/>
                      <w:bCs/>
                      <w:color w:val="auto"/>
                      <w:sz w:val="21"/>
                      <w:szCs w:val="21"/>
                      <w:vertAlign w:val="baseline"/>
                      <w:lang w:val="en-US" w:eastAsia="zh-CN"/>
                    </w:rPr>
                    <w:t>基于运营口径的科室成本核算服务</w:t>
                  </w:r>
                </w:p>
              </w:tc>
              <w:tc>
                <w:tcPr>
                  <w:tcW w:w="434" w:type="dxa"/>
                </w:tcPr>
                <w:p>
                  <w:pPr>
                    <w:spacing w:line="360" w:lineRule="auto"/>
                    <w:jc w:val="center"/>
                    <w:rPr>
                      <w:rFonts w:hint="eastAsia" w:ascii="宋体" w:hAnsi="宋体" w:cs="宋体" w:eastAsiaTheme="minorEastAsia"/>
                      <w:bCs/>
                      <w:color w:val="auto"/>
                      <w:sz w:val="21"/>
                      <w:szCs w:val="21"/>
                      <w:lang w:val="en-US" w:eastAsia="zh-CN"/>
                    </w:rPr>
                  </w:pPr>
                  <w:r>
                    <w:rPr>
                      <w:rFonts w:hint="eastAsia" w:ascii="宋体" w:hAnsi="宋体" w:cs="宋体"/>
                      <w:bCs/>
                      <w:color w:val="auto"/>
                      <w:sz w:val="21"/>
                      <w:szCs w:val="21"/>
                      <w:lang w:val="en-US" w:eastAsia="zh-CN"/>
                    </w:rPr>
                    <w:t>1</w:t>
                  </w:r>
                </w:p>
              </w:tc>
              <w:tc>
                <w:tcPr>
                  <w:tcW w:w="516" w:type="dxa"/>
                </w:tcPr>
                <w:p>
                  <w:pPr>
                    <w:spacing w:line="360" w:lineRule="auto"/>
                    <w:jc w:val="center"/>
                    <w:rPr>
                      <w:rFonts w:hint="eastAsia" w:ascii="宋体" w:hAnsi="宋体" w:cs="宋体" w:eastAsiaTheme="minorEastAsia"/>
                      <w:bCs/>
                      <w:color w:val="auto"/>
                      <w:sz w:val="21"/>
                      <w:szCs w:val="21"/>
                      <w:lang w:val="en-US" w:eastAsia="zh-CN"/>
                    </w:rPr>
                  </w:pPr>
                  <w:r>
                    <w:rPr>
                      <w:rFonts w:hint="eastAsia" w:ascii="宋体" w:hAnsi="宋体" w:cs="宋体"/>
                      <w:bCs/>
                      <w:color w:val="auto"/>
                      <w:sz w:val="21"/>
                      <w:szCs w:val="21"/>
                      <w:lang w:val="en-US" w:eastAsia="zh-CN"/>
                    </w:rPr>
                    <w:t>项</w:t>
                  </w:r>
                </w:p>
              </w:tc>
              <w:tc>
                <w:tcPr>
                  <w:tcW w:w="834" w:type="dxa"/>
                </w:tcPr>
                <w:p>
                  <w:pPr>
                    <w:spacing w:line="360" w:lineRule="auto"/>
                    <w:jc w:val="center"/>
                    <w:rPr>
                      <w:rFonts w:hint="default" w:ascii="宋体" w:hAnsi="宋体" w:cs="宋体" w:eastAsiaTheme="minorEastAsia"/>
                      <w:bCs/>
                      <w:color w:val="auto"/>
                      <w:sz w:val="21"/>
                      <w:szCs w:val="21"/>
                      <w:lang w:val="en-US" w:eastAsia="zh-CN"/>
                    </w:rPr>
                  </w:pPr>
                  <w:r>
                    <w:rPr>
                      <w:rFonts w:hint="eastAsia" w:ascii="宋体" w:hAnsi="宋体" w:cs="宋体"/>
                      <w:bCs/>
                      <w:color w:val="auto"/>
                      <w:sz w:val="21"/>
                      <w:szCs w:val="21"/>
                      <w:lang w:val="en-US" w:eastAsia="zh-CN"/>
                    </w:rPr>
                    <w:t>11860</w:t>
                  </w:r>
                </w:p>
              </w:tc>
              <w:tc>
                <w:tcPr>
                  <w:tcW w:w="1526" w:type="dxa"/>
                  <w:vMerge w:val="continue"/>
                </w:tcPr>
                <w:p>
                  <w:pPr>
                    <w:spacing w:line="360" w:lineRule="auto"/>
                    <w:jc w:val="center"/>
                    <w:rPr>
                      <w:rFonts w:ascii="宋体" w:hAnsi="宋体" w:cs="宋体"/>
                      <w:bCs/>
                      <w:color w:val="FF0000"/>
                      <w:sz w:val="21"/>
                      <w:szCs w:val="21"/>
                    </w:rPr>
                  </w:pPr>
                </w:p>
              </w:tc>
            </w:tr>
          </w:tbl>
          <w:p>
            <w:pPr>
              <w:spacing w:line="5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12" w:type="dxa"/>
            <w:vAlign w:val="center"/>
          </w:tcPr>
          <w:p>
            <w:pPr>
              <w:jc w:val="center"/>
              <w:rPr>
                <w:rFonts w:ascii="宋体" w:hAnsi="宋体"/>
                <w:szCs w:val="21"/>
              </w:rPr>
            </w:pPr>
            <w:r>
              <w:rPr>
                <w:rFonts w:hint="eastAsia" w:ascii="宋体" w:hAnsi="宋体"/>
                <w:szCs w:val="21"/>
              </w:rPr>
              <w:t>2</w:t>
            </w:r>
          </w:p>
        </w:tc>
        <w:tc>
          <w:tcPr>
            <w:tcW w:w="1574" w:type="dxa"/>
            <w:vAlign w:val="center"/>
          </w:tcPr>
          <w:p>
            <w:pPr>
              <w:jc w:val="center"/>
              <w:rPr>
                <w:rFonts w:ascii="宋体" w:hAnsi="宋体"/>
                <w:b/>
                <w:szCs w:val="21"/>
              </w:rPr>
            </w:pPr>
            <w:r>
              <w:rPr>
                <w:rFonts w:hint="eastAsia" w:ascii="宋体" w:hAnsi="宋体" w:cs="宋体"/>
                <w:b/>
                <w:kern w:val="0"/>
                <w:szCs w:val="21"/>
              </w:rPr>
              <w:t>付款方式</w:t>
            </w:r>
          </w:p>
        </w:tc>
        <w:tc>
          <w:tcPr>
            <w:tcW w:w="6395" w:type="dxa"/>
            <w:vAlign w:val="center"/>
          </w:tcPr>
          <w:p>
            <w:pPr>
              <w:rPr>
                <w:rFonts w:ascii="宋体" w:hAnsi="宋体" w:cs="宋体"/>
                <w:kern w:val="0"/>
                <w:sz w:val="21"/>
                <w:szCs w:val="21"/>
              </w:rPr>
            </w:pPr>
            <w:r>
              <w:rPr>
                <w:rFonts w:hint="eastAsia" w:ascii="宋体" w:hAnsi="宋体" w:eastAsia="宋体" w:cs="宋体"/>
                <w:kern w:val="0"/>
                <w:sz w:val="21"/>
                <w:szCs w:val="21"/>
                <w:lang w:val="en-US" w:eastAsia="zh-CN"/>
              </w:rPr>
              <w:t>中标</w:t>
            </w:r>
            <w:r>
              <w:rPr>
                <w:rFonts w:hint="eastAsia" w:ascii="宋体" w:hAnsi="宋体" w:eastAsia="宋体" w:cs="宋体"/>
                <w:kern w:val="0"/>
                <w:sz w:val="21"/>
                <w:szCs w:val="21"/>
                <w:lang w:val="en-US" w:eastAsia="zh-CN" w:bidi="ar"/>
              </w:rPr>
              <w:t>方交付</w:t>
            </w:r>
            <w:r>
              <w:rPr>
                <w:rFonts w:hint="eastAsia" w:ascii="宋体" w:hAnsi="宋体" w:eastAsia="宋体" w:cs="宋体"/>
                <w:kern w:val="0"/>
                <w:sz w:val="21"/>
                <w:szCs w:val="21"/>
                <w:lang w:bidi="ar"/>
              </w:rPr>
              <w:t>检测报告后</w:t>
            </w:r>
            <w:r>
              <w:rPr>
                <w:rFonts w:hint="eastAsia" w:ascii="宋体" w:hAnsi="宋体" w:eastAsia="宋体" w:cs="宋体"/>
                <w:kern w:val="0"/>
                <w:sz w:val="21"/>
                <w:szCs w:val="21"/>
              </w:rPr>
              <w:t>，采购方在收到中标方开具的等额发票后，向中标方支付合同总价</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100</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%的款项</w:t>
            </w:r>
            <w:r>
              <w:rPr>
                <w:rFonts w:hint="eastAsia" w:ascii="宋体" w:hAnsi="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2" w:type="dxa"/>
            <w:vAlign w:val="center"/>
          </w:tcPr>
          <w:p>
            <w:pPr>
              <w:jc w:val="center"/>
              <w:rPr>
                <w:rFonts w:ascii="宋体" w:hAnsi="宋体"/>
                <w:szCs w:val="21"/>
              </w:rPr>
            </w:pPr>
            <w:r>
              <w:rPr>
                <w:rFonts w:hint="eastAsia" w:ascii="宋体" w:hAnsi="宋体"/>
                <w:szCs w:val="21"/>
              </w:rPr>
              <w:t>3</w:t>
            </w:r>
          </w:p>
        </w:tc>
        <w:tc>
          <w:tcPr>
            <w:tcW w:w="1574" w:type="dxa"/>
            <w:vAlign w:val="center"/>
          </w:tcPr>
          <w:p>
            <w:pPr>
              <w:jc w:val="center"/>
              <w:rPr>
                <w:rFonts w:ascii="宋体" w:hAnsi="宋体"/>
                <w:b/>
                <w:szCs w:val="21"/>
              </w:rPr>
            </w:pPr>
            <w:r>
              <w:rPr>
                <w:rFonts w:hint="eastAsia" w:ascii="宋体" w:hAnsi="宋体" w:cs="宋体"/>
                <w:b/>
                <w:kern w:val="0"/>
                <w:szCs w:val="21"/>
              </w:rPr>
              <w:t>服务地点</w:t>
            </w:r>
          </w:p>
        </w:tc>
        <w:tc>
          <w:tcPr>
            <w:tcW w:w="6395" w:type="dxa"/>
            <w:vAlign w:val="center"/>
          </w:tcPr>
          <w:p>
            <w:pPr>
              <w:rPr>
                <w:rFonts w:hint="default" w:ascii="宋体" w:hAnsi="宋体" w:eastAsiaTheme="minorEastAsia"/>
                <w:b/>
                <w:sz w:val="21"/>
                <w:szCs w:val="21"/>
                <w:lang w:val="en-US" w:eastAsia="zh-CN"/>
              </w:rPr>
            </w:pPr>
            <w:r>
              <w:rPr>
                <w:rFonts w:hint="eastAsia" w:ascii="宋体" w:hAnsi="宋体"/>
                <w:b w:val="0"/>
                <w:bCs/>
                <w:sz w:val="21"/>
                <w:szCs w:val="21"/>
                <w:lang w:val="en-US" w:eastAsia="zh-CN"/>
              </w:rPr>
              <w:t>深圳市光明区人民医院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12" w:type="dxa"/>
            <w:vAlign w:val="center"/>
          </w:tcPr>
          <w:p>
            <w:pPr>
              <w:jc w:val="center"/>
              <w:rPr>
                <w:rFonts w:ascii="宋体" w:hAnsi="宋体"/>
                <w:szCs w:val="21"/>
              </w:rPr>
            </w:pPr>
            <w:r>
              <w:rPr>
                <w:rFonts w:hint="eastAsia" w:ascii="宋体" w:hAnsi="宋体"/>
                <w:szCs w:val="21"/>
              </w:rPr>
              <w:t>4</w:t>
            </w:r>
          </w:p>
        </w:tc>
        <w:tc>
          <w:tcPr>
            <w:tcW w:w="1574" w:type="dxa"/>
            <w:vAlign w:val="center"/>
          </w:tcPr>
          <w:p>
            <w:pPr>
              <w:jc w:val="center"/>
              <w:rPr>
                <w:rFonts w:ascii="宋体" w:hAnsi="宋体"/>
                <w:b/>
                <w:bCs/>
                <w:szCs w:val="21"/>
              </w:rPr>
            </w:pPr>
            <w:r>
              <w:rPr>
                <w:rFonts w:hint="eastAsia" w:ascii="宋体" w:hAnsi="宋体" w:cs="宋体"/>
                <w:b/>
                <w:kern w:val="0"/>
                <w:szCs w:val="21"/>
              </w:rPr>
              <w:t>服务期限</w:t>
            </w:r>
          </w:p>
        </w:tc>
        <w:tc>
          <w:tcPr>
            <w:tcW w:w="6395" w:type="dxa"/>
            <w:vAlign w:val="center"/>
          </w:tcPr>
          <w:p>
            <w:pPr>
              <w:rPr>
                <w:rFonts w:ascii="宋体" w:hAnsi="宋体"/>
                <w:b/>
                <w:color w:val="auto"/>
                <w:sz w:val="21"/>
                <w:szCs w:val="21"/>
              </w:rPr>
            </w:pPr>
            <w:r>
              <w:rPr>
                <w:rFonts w:hint="eastAsia" w:ascii="宋体" w:hAnsi="宋体" w:cs="宋体"/>
                <w:color w:val="auto"/>
                <w:kern w:val="0"/>
                <w:sz w:val="21"/>
                <w:szCs w:val="21"/>
              </w:rPr>
              <w:t>自合同签订之日起</w:t>
            </w:r>
            <w:r>
              <w:rPr>
                <w:rFonts w:hint="eastAsia" w:ascii="宋体" w:hAnsi="宋体" w:cs="宋体"/>
                <w:color w:val="auto"/>
                <w:kern w:val="0"/>
                <w:sz w:val="21"/>
                <w:szCs w:val="21"/>
                <w:lang w:val="en-US" w:eastAsia="zh-CN"/>
              </w:rPr>
              <w:t>至第三方检测结束止</w:t>
            </w:r>
            <w:r>
              <w:rPr>
                <w:rFonts w:hint="eastAsia" w:ascii="宋体" w:hAnsi="宋体" w:cs="宋体"/>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5</w:t>
            </w:r>
          </w:p>
        </w:tc>
        <w:tc>
          <w:tcPr>
            <w:tcW w:w="1574" w:type="dxa"/>
            <w:vAlign w:val="center"/>
          </w:tcPr>
          <w:p>
            <w:pPr>
              <w:jc w:val="center"/>
              <w:rPr>
                <w:rFonts w:ascii="宋体" w:hAnsi="宋体"/>
                <w:b/>
                <w:szCs w:val="21"/>
              </w:rPr>
            </w:pPr>
            <w:r>
              <w:rPr>
                <w:rFonts w:hint="eastAsia" w:ascii="宋体" w:hAnsi="宋体" w:cs="宋体"/>
                <w:b/>
                <w:kern w:val="0"/>
                <w:szCs w:val="21"/>
              </w:rPr>
              <w:t>违约金</w:t>
            </w:r>
          </w:p>
        </w:tc>
        <w:tc>
          <w:tcPr>
            <w:tcW w:w="6395" w:type="dxa"/>
            <w:vAlign w:val="center"/>
          </w:tcPr>
          <w:p>
            <w:pPr>
              <w:rPr>
                <w:rFonts w:ascii="宋体" w:hAnsi="宋体"/>
                <w:b/>
                <w:color w:val="auto"/>
                <w:sz w:val="21"/>
                <w:szCs w:val="21"/>
              </w:rPr>
            </w:pPr>
            <w:r>
              <w:rPr>
                <w:rFonts w:hint="eastAsia" w:ascii="宋体" w:hAnsi="宋体" w:cs="宋体"/>
                <w:color w:val="auto"/>
                <w:kern w:val="0"/>
                <w:sz w:val="21"/>
                <w:szCs w:val="21"/>
              </w:rPr>
              <w:t>违约金为占中标价的</w:t>
            </w:r>
            <w:r>
              <w:rPr>
                <w:rFonts w:ascii="宋体" w:hAnsi="宋体" w:cs="宋体"/>
                <w:color w:val="auto"/>
                <w:kern w:val="0"/>
                <w:sz w:val="21"/>
                <w:szCs w:val="21"/>
              </w:rPr>
              <w:t>20</w:t>
            </w:r>
            <w:r>
              <w:rPr>
                <w:rFonts w:hint="eastAsia" w:ascii="宋体" w:hAnsi="宋体" w:cs="宋体"/>
                <w:color w:val="auto"/>
                <w:kern w:val="0"/>
                <w:sz w:val="21"/>
                <w:szCs w:val="21"/>
              </w:rPr>
              <w:t>%（医院规定不得低于2</w:t>
            </w:r>
            <w:r>
              <w:rPr>
                <w:rFonts w:ascii="宋体" w:hAnsi="宋体" w:cs="宋体"/>
                <w:color w:val="auto"/>
                <w:kern w:val="0"/>
                <w:sz w:val="21"/>
                <w:szCs w:val="21"/>
              </w:rPr>
              <w:t>0</w:t>
            </w:r>
            <w:r>
              <w:rPr>
                <w:rFonts w:hint="eastAsia" w:ascii="宋体" w:hAnsi="宋体" w:cs="宋体"/>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6</w:t>
            </w:r>
          </w:p>
        </w:tc>
        <w:tc>
          <w:tcPr>
            <w:tcW w:w="1574" w:type="dxa"/>
            <w:vAlign w:val="center"/>
          </w:tcPr>
          <w:p>
            <w:pPr>
              <w:jc w:val="center"/>
              <w:rPr>
                <w:rFonts w:ascii="宋体" w:hAnsi="宋体"/>
                <w:b/>
                <w:szCs w:val="21"/>
              </w:rPr>
            </w:pPr>
            <w:r>
              <w:rPr>
                <w:rFonts w:hint="eastAsia" w:ascii="宋体" w:hAnsi="宋体" w:cs="宋体"/>
                <w:b/>
                <w:kern w:val="0"/>
                <w:szCs w:val="21"/>
              </w:rPr>
              <w:t>违约责任</w:t>
            </w:r>
          </w:p>
        </w:tc>
        <w:tc>
          <w:tcPr>
            <w:tcW w:w="6395" w:type="dxa"/>
            <w:vAlign w:val="center"/>
          </w:tcPr>
          <w:p>
            <w:pPr>
              <w:widowControl/>
              <w:numPr>
                <w:ilvl w:val="1"/>
                <w:numId w:val="2"/>
              </w:numPr>
              <w:tabs>
                <w:tab w:val="left" w:pos="851"/>
              </w:tabs>
              <w:spacing w:line="360" w:lineRule="auto"/>
              <w:ind w:firstLine="400" w:firstLineChars="0"/>
              <w:jc w:val="left"/>
              <w:rPr>
                <w:rFonts w:hint="eastAsia" w:ascii="宋体" w:hAnsi="宋体" w:eastAsia="宋体" w:cs="宋体"/>
                <w:bCs w:val="0"/>
                <w:color w:val="auto"/>
                <w:kern w:val="0"/>
                <w:sz w:val="21"/>
                <w:szCs w:val="21"/>
                <w:lang w:bidi="ar"/>
              </w:rPr>
            </w:pPr>
            <w:r>
              <w:rPr>
                <w:rFonts w:hint="eastAsia" w:ascii="宋体" w:hAnsi="宋体" w:eastAsia="宋体" w:cs="宋体"/>
                <w:bCs w:val="0"/>
                <w:color w:val="auto"/>
                <w:kern w:val="0"/>
                <w:sz w:val="21"/>
                <w:szCs w:val="21"/>
                <w:lang w:bidi="ar"/>
              </w:rPr>
              <w:t>甲方和乙方若单方面解除合同，或有其他违反本合同的行为，违约方</w:t>
            </w:r>
            <w:r>
              <w:rPr>
                <w:rFonts w:hint="eastAsia" w:ascii="宋体" w:hAnsi="宋体" w:eastAsia="宋体" w:cs="宋体"/>
                <w:bCs w:val="0"/>
                <w:color w:val="auto"/>
                <w:kern w:val="0"/>
                <w:sz w:val="21"/>
                <w:szCs w:val="21"/>
                <w:lang w:val="en-US" w:eastAsia="zh-CN" w:bidi="ar"/>
              </w:rPr>
              <w:t>应当承担合同金额20%的违约金。</w:t>
            </w:r>
          </w:p>
          <w:p>
            <w:pPr>
              <w:widowControl/>
              <w:numPr>
                <w:ilvl w:val="1"/>
                <w:numId w:val="2"/>
              </w:numPr>
              <w:tabs>
                <w:tab w:val="left" w:pos="851"/>
              </w:tabs>
              <w:spacing w:line="360" w:lineRule="auto"/>
              <w:ind w:firstLine="400" w:firstLineChars="0"/>
              <w:jc w:val="left"/>
              <w:rPr>
                <w:rFonts w:hint="eastAsia" w:ascii="宋体" w:hAnsi="宋体" w:eastAsia="宋体" w:cs="宋体"/>
                <w:bCs w:val="0"/>
                <w:color w:val="auto"/>
                <w:kern w:val="0"/>
                <w:sz w:val="21"/>
                <w:szCs w:val="21"/>
                <w:lang w:bidi="ar"/>
              </w:rPr>
            </w:pPr>
            <w:r>
              <w:rPr>
                <w:rFonts w:hint="eastAsia" w:ascii="宋体" w:hAnsi="宋体" w:eastAsia="宋体" w:cs="宋体"/>
                <w:bCs w:val="0"/>
                <w:color w:val="auto"/>
                <w:kern w:val="0"/>
                <w:sz w:val="21"/>
                <w:szCs w:val="21"/>
                <w:lang w:bidi="ar"/>
              </w:rPr>
              <w:t>除不可抗力因素</w:t>
            </w:r>
            <w:r>
              <w:rPr>
                <w:rFonts w:hint="eastAsia" w:ascii="宋体" w:hAnsi="宋体" w:eastAsia="宋体" w:cs="宋体"/>
                <w:bCs w:val="0"/>
                <w:color w:val="auto"/>
                <w:kern w:val="0"/>
                <w:sz w:val="21"/>
                <w:szCs w:val="21"/>
                <w:lang w:eastAsia="zh-CN" w:bidi="ar"/>
              </w:rPr>
              <w:t>、</w:t>
            </w:r>
            <w:r>
              <w:rPr>
                <w:rFonts w:hint="eastAsia" w:ascii="宋体" w:hAnsi="宋体" w:eastAsia="宋体" w:cs="宋体"/>
                <w:bCs w:val="0"/>
                <w:color w:val="auto"/>
                <w:kern w:val="0"/>
                <w:sz w:val="21"/>
                <w:szCs w:val="21"/>
                <w:lang w:val="en-US" w:eastAsia="zh-CN" w:bidi="ar"/>
              </w:rPr>
              <w:t>财政资金拨款未到位</w:t>
            </w:r>
            <w:r>
              <w:rPr>
                <w:rFonts w:hint="eastAsia" w:ascii="宋体" w:hAnsi="宋体" w:eastAsia="宋体" w:cs="宋体"/>
                <w:bCs w:val="0"/>
                <w:color w:val="auto"/>
                <w:kern w:val="0"/>
                <w:sz w:val="21"/>
                <w:szCs w:val="21"/>
                <w:lang w:bidi="ar"/>
              </w:rPr>
              <w:t>和乙方的原因外，若甲方拖延支付项目款给乙方，每逾期一日，甲方应向乙方支付本合同额0.2％的逾期违约金</w:t>
            </w:r>
            <w:r>
              <w:rPr>
                <w:rFonts w:hint="eastAsia" w:ascii="宋体" w:hAnsi="宋体" w:eastAsia="宋体" w:cs="宋体"/>
                <w:bCs w:val="0"/>
                <w:color w:val="auto"/>
                <w:kern w:val="0"/>
                <w:sz w:val="21"/>
                <w:szCs w:val="21"/>
                <w:lang w:eastAsia="zh-CN" w:bidi="ar"/>
              </w:rPr>
              <w:t>，</w:t>
            </w:r>
            <w:r>
              <w:rPr>
                <w:rFonts w:hint="eastAsia" w:ascii="宋体" w:hAnsi="宋体" w:eastAsia="宋体" w:cs="宋体"/>
                <w:bCs w:val="0"/>
                <w:color w:val="auto"/>
                <w:kern w:val="0"/>
                <w:sz w:val="21"/>
                <w:szCs w:val="21"/>
                <w:lang w:val="en-US" w:eastAsia="zh-CN" w:bidi="ar"/>
              </w:rPr>
              <w:t>最多不超过合同金额20%，超过100天未交付的，乙方有权终止合同</w:t>
            </w:r>
            <w:r>
              <w:rPr>
                <w:rFonts w:hint="eastAsia" w:ascii="宋体" w:hAnsi="宋体" w:eastAsia="宋体" w:cs="宋体"/>
                <w:bCs w:val="0"/>
                <w:color w:val="auto"/>
                <w:kern w:val="0"/>
                <w:sz w:val="21"/>
                <w:szCs w:val="21"/>
                <w:lang w:bidi="ar"/>
              </w:rPr>
              <w:t>。</w:t>
            </w:r>
          </w:p>
          <w:p>
            <w:pPr>
              <w:widowControl/>
              <w:numPr>
                <w:ilvl w:val="1"/>
                <w:numId w:val="2"/>
              </w:numPr>
              <w:tabs>
                <w:tab w:val="left" w:pos="851"/>
              </w:tabs>
              <w:spacing w:line="360" w:lineRule="auto"/>
              <w:ind w:firstLine="400" w:firstLineChars="0"/>
              <w:jc w:val="left"/>
              <w:rPr>
                <w:rFonts w:hint="eastAsia" w:ascii="宋体" w:hAnsi="宋体" w:eastAsia="宋体" w:cs="宋体"/>
                <w:bCs w:val="0"/>
                <w:color w:val="auto"/>
                <w:kern w:val="0"/>
                <w:sz w:val="21"/>
                <w:szCs w:val="21"/>
                <w:lang w:bidi="ar"/>
              </w:rPr>
            </w:pPr>
            <w:r>
              <w:rPr>
                <w:rFonts w:hint="eastAsia" w:ascii="宋体" w:hAnsi="宋体" w:eastAsia="宋体" w:cs="宋体"/>
                <w:bCs w:val="0"/>
                <w:color w:val="auto"/>
                <w:kern w:val="0"/>
                <w:sz w:val="21"/>
                <w:szCs w:val="21"/>
                <w:lang w:bidi="ar"/>
              </w:rPr>
              <w:t>未经甲方允许，由于乙方的违规操作造成甲方的损失，乙方应进行赔偿，最高不超过本合同总金额的</w:t>
            </w:r>
            <w:r>
              <w:rPr>
                <w:rFonts w:hint="eastAsia" w:ascii="宋体" w:hAnsi="宋体" w:eastAsia="宋体" w:cs="宋体"/>
                <w:bCs w:val="0"/>
                <w:color w:val="auto"/>
                <w:kern w:val="0"/>
                <w:sz w:val="21"/>
                <w:szCs w:val="21"/>
                <w:lang w:eastAsia="zh-CN" w:bidi="ar"/>
              </w:rPr>
              <w:t>2</w:t>
            </w:r>
            <w:r>
              <w:rPr>
                <w:rFonts w:hint="eastAsia" w:ascii="宋体" w:hAnsi="宋体" w:eastAsia="宋体" w:cs="宋体"/>
                <w:bCs w:val="0"/>
                <w:color w:val="auto"/>
                <w:kern w:val="0"/>
                <w:sz w:val="21"/>
                <w:szCs w:val="21"/>
                <w:lang w:val="en-US" w:eastAsia="zh-CN" w:bidi="ar"/>
              </w:rPr>
              <w:t>0</w:t>
            </w:r>
            <w:r>
              <w:rPr>
                <w:rFonts w:hint="eastAsia" w:ascii="宋体" w:hAnsi="宋体" w:eastAsia="宋体" w:cs="宋体"/>
                <w:bCs w:val="0"/>
                <w:color w:val="auto"/>
                <w:kern w:val="0"/>
                <w:sz w:val="21"/>
                <w:szCs w:val="21"/>
                <w:lang w:bidi="ar"/>
              </w:rPr>
              <w:t>％。</w:t>
            </w:r>
          </w:p>
          <w:p>
            <w:pPr>
              <w:widowControl/>
              <w:numPr>
                <w:ilvl w:val="1"/>
                <w:numId w:val="2"/>
              </w:numPr>
              <w:spacing w:line="360" w:lineRule="auto"/>
              <w:ind w:firstLine="400" w:firstLineChars="0"/>
              <w:jc w:val="left"/>
              <w:rPr>
                <w:rFonts w:cs="仿宋" w:asciiTheme="minorEastAsia" w:hAnsiTheme="minorEastAsia"/>
                <w:color w:val="auto"/>
                <w:sz w:val="21"/>
                <w:szCs w:val="21"/>
              </w:rPr>
            </w:pPr>
            <w:r>
              <w:rPr>
                <w:rFonts w:hint="eastAsia" w:ascii="宋体" w:hAnsi="宋体" w:eastAsia="宋体" w:cs="宋体"/>
                <w:bCs w:val="0"/>
                <w:color w:val="auto"/>
                <w:kern w:val="0"/>
                <w:sz w:val="21"/>
                <w:szCs w:val="21"/>
                <w:lang w:val="en-US" w:eastAsia="zh-CN" w:bidi="ar"/>
              </w:rPr>
              <w:t>乙方如延期交付一日则承担0.2%违约金，最多不超过合同金额20%，超过100天未交付的，甲方有权终止合同，并要求乙方赔偿造成的经济损失。</w:t>
            </w:r>
          </w:p>
          <w:p>
            <w:pPr>
              <w:rPr>
                <w:rFonts w:ascii="宋体" w:hAnsi="宋体"/>
                <w:b/>
                <w:color w:val="auto"/>
                <w:sz w:val="21"/>
                <w:szCs w:val="21"/>
              </w:rPr>
            </w:pPr>
          </w:p>
        </w:tc>
      </w:tr>
    </w:tbl>
    <w:p>
      <w:pPr>
        <w:numPr>
          <w:ilvl w:val="0"/>
          <w:numId w:val="0"/>
        </w:numPr>
        <w:spacing w:line="560" w:lineRule="exact"/>
        <w:ind w:left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rPr>
          <w:rFonts w:hint="eastAsia" w:ascii="仿宋_GB2312" w:hAnsi="宋体" w:eastAsia="仿宋_GB2312" w:cs="宋体"/>
          <w:sz w:val="24"/>
        </w:rPr>
      </w:pPr>
    </w:p>
    <w:p>
      <w:pPr>
        <w:spacing w:line="440" w:lineRule="exact"/>
        <w:rPr>
          <w:rFonts w:ascii="仿宋_GB2312" w:hAnsi="宋体" w:eastAsia="仿宋_GB2312" w:cs="宋体"/>
          <w:sz w:val="24"/>
        </w:rPr>
      </w:pP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6</w:t>
      </w:r>
      <w:r>
        <w:rPr>
          <w:rFonts w:hint="eastAsia" w:ascii="仿宋_GB2312" w:hAnsi="宋体" w:eastAsia="仿宋_GB2312" w:cs="宋体"/>
          <w:sz w:val="24"/>
        </w:rPr>
        <w:t>月</w:t>
      </w:r>
      <w:r>
        <w:rPr>
          <w:rFonts w:hint="eastAsia" w:ascii="仿宋_GB2312" w:hAnsi="宋体" w:eastAsia="仿宋_GB2312" w:cs="宋体"/>
          <w:sz w:val="24"/>
          <w:lang w:val="en-US" w:eastAsia="zh-CN"/>
        </w:rPr>
        <w:t>18</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pPr>
        <w:spacing w:line="440" w:lineRule="exact"/>
        <w:ind w:firstLine="5102" w:firstLineChars="2126"/>
        <w:rPr>
          <w:rFonts w:ascii="仿宋_GB2312" w:hAnsi="宋体" w:eastAsia="仿宋_GB2312" w:cs="宋体"/>
          <w:sz w:val="24"/>
        </w:rPr>
      </w:pPr>
    </w:p>
    <w:p>
      <w:pPr>
        <w:spacing w:line="560" w:lineRule="exact"/>
        <w:ind w:firstLine="6803" w:firstLineChars="2126"/>
        <w:rPr>
          <w:rFonts w:ascii="仿宋_GB2312" w:hAnsi="宋体" w:eastAsia="仿宋_GB2312" w:cs="宋体"/>
          <w:sz w:val="32"/>
          <w:szCs w:val="32"/>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bookmarkStart w:id="0" w:name="_GoBack"/>
      <w:bookmarkEnd w:id="0"/>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Pr>
        <w:pStyle w:val="4"/>
        <w:spacing w:before="120" w:after="120"/>
        <w:jc w:val="center"/>
        <w:rPr>
          <w:rFonts w:eastAsia="黑体"/>
          <w:b w:val="0"/>
          <w:kern w:val="1"/>
          <w:sz w:val="44"/>
        </w:rPr>
      </w:pPr>
      <w:r>
        <w:rPr>
          <w:rFonts w:hint="eastAsia"/>
          <w:kern w:val="1"/>
        </w:rPr>
        <w:t>报价</w:t>
      </w:r>
      <w:r>
        <w:rPr>
          <w:kern w:val="1"/>
        </w:rPr>
        <w:t>一览表</w:t>
      </w:r>
    </w:p>
    <w:p>
      <w:pPr>
        <w:tabs>
          <w:tab w:val="left" w:pos="8080"/>
        </w:tabs>
        <w:ind w:right="99" w:rightChars="47"/>
        <w:jc w:val="right"/>
        <w:rPr>
          <w:rFonts w:ascii="仿宋_GB2312" w:eastAsia="仿宋_GB2312"/>
        </w:rPr>
      </w:pPr>
      <w:r>
        <w:rPr>
          <w:rFonts w:hint="eastAsia" w:ascii="仿宋_GB2312" w:eastAsia="仿宋_GB2312"/>
          <w:sz w:val="24"/>
        </w:rPr>
        <w:t xml:space="preserve"> 单位：人民币元</w:t>
      </w:r>
    </w:p>
    <w:tbl>
      <w:tblPr>
        <w:tblStyle w:val="26"/>
        <w:tblW w:w="0" w:type="auto"/>
        <w:jc w:val="center"/>
        <w:tblLayout w:type="fixed"/>
        <w:tblCellMar>
          <w:top w:w="0" w:type="dxa"/>
          <w:left w:w="108" w:type="dxa"/>
          <w:bottom w:w="0" w:type="dxa"/>
          <w:right w:w="108" w:type="dxa"/>
        </w:tblCellMar>
      </w:tblPr>
      <w:tblGrid>
        <w:gridCol w:w="1368"/>
        <w:gridCol w:w="2700"/>
        <w:gridCol w:w="2174"/>
        <w:gridCol w:w="2146"/>
        <w:gridCol w:w="1260"/>
      </w:tblGrid>
      <w:tr>
        <w:tblPrEx>
          <w:tblCellMar>
            <w:top w:w="0" w:type="dxa"/>
            <w:left w:w="108" w:type="dxa"/>
            <w:bottom w:w="0" w:type="dxa"/>
            <w:right w:w="108" w:type="dxa"/>
          </w:tblCellMar>
        </w:tblPrEx>
        <w:trPr>
          <w:cantSplit/>
          <w:trHeight w:val="720" w:hRule="atLeast"/>
          <w:jc w:val="center"/>
        </w:trPr>
        <w:tc>
          <w:tcPr>
            <w:tcW w:w="1368"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700"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174"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报价（</w:t>
            </w:r>
            <w:r>
              <w:rPr>
                <w:rFonts w:ascii="黑体" w:hAnsi="黑体" w:eastAsia="黑体"/>
                <w:sz w:val="24"/>
              </w:rPr>
              <w:t>总价）</w:t>
            </w:r>
          </w:p>
        </w:tc>
        <w:tc>
          <w:tcPr>
            <w:tcW w:w="2146"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服务期限</w:t>
            </w:r>
          </w:p>
        </w:tc>
        <w:tc>
          <w:tcPr>
            <w:tcW w:w="1260"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368"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700"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174"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2146" w:type="dxa"/>
            <w:tcBorders>
              <w:top w:val="single" w:color="000000" w:sz="4" w:space="0"/>
              <w:left w:val="single" w:color="000000" w:sz="4" w:space="0"/>
              <w:bottom w:val="double" w:color="000000" w:sz="4" w:space="0"/>
              <w:right w:val="single" w:color="000000" w:sz="4" w:space="0"/>
            </w:tcBorders>
            <w:noWrap w:val="0"/>
            <w:vAlign w:val="center"/>
          </w:tcPr>
          <w:p>
            <w:pPr>
              <w:jc w:val="center"/>
              <w:rPr>
                <w:rFonts w:ascii="仿宋_GB2312" w:eastAsia="仿宋_GB2312"/>
                <w:sz w:val="24"/>
              </w:rPr>
            </w:pPr>
          </w:p>
        </w:tc>
        <w:tc>
          <w:tcPr>
            <w:tcW w:w="1260"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
      <w:pPr>
        <w:spacing w:line="400" w:lineRule="exact"/>
        <w:ind w:firstLine="3840" w:firstLineChars="1600"/>
        <w:rPr>
          <w:rFonts w:ascii="仿宋_GB2312" w:eastAsia="仿宋_GB2312"/>
          <w:sz w:val="24"/>
        </w:rPr>
      </w:pPr>
    </w:p>
    <w:p>
      <w:pPr>
        <w:pStyle w:val="4"/>
        <w:spacing w:before="120" w:after="120"/>
        <w:jc w:val="center"/>
        <w:rPr>
          <w:kern w:val="1"/>
        </w:rPr>
      </w:pPr>
      <w:r>
        <w:rPr>
          <w:rFonts w:hint="eastAsia"/>
          <w:kern w:val="1"/>
          <w:lang w:val="en-US" w:eastAsia="zh-CN"/>
        </w:rPr>
        <w:t>分项</w:t>
      </w:r>
      <w:r>
        <w:rPr>
          <w:rFonts w:hint="eastAsia"/>
          <w:kern w:val="1"/>
        </w:rPr>
        <w:t>报价</w:t>
      </w:r>
      <w:r>
        <w:rPr>
          <w:kern w:val="1"/>
        </w:rPr>
        <w:t>表</w:t>
      </w:r>
    </w:p>
    <w:p>
      <w:pPr>
        <w:wordWrap w:val="0"/>
        <w:jc w:val="right"/>
        <w:rPr>
          <w:rFonts w:hint="eastAsia" w:eastAsia="仿宋_GB2312"/>
          <w:lang w:val="en-US" w:eastAsia="zh-CN"/>
        </w:rPr>
      </w:pPr>
      <w:r>
        <w:rPr>
          <w:rFonts w:hint="eastAsia" w:ascii="仿宋_GB2312" w:eastAsia="仿宋_GB2312"/>
          <w:sz w:val="24"/>
        </w:rPr>
        <w:t>单位：人民币元</w:t>
      </w:r>
      <w:r>
        <w:rPr>
          <w:rFonts w:hint="eastAsia" w:ascii="仿宋_GB2312" w:eastAsia="仿宋_GB2312"/>
          <w:sz w:val="24"/>
          <w:lang w:val="en-US" w:eastAsia="zh-CN"/>
        </w:rPr>
        <w:t xml:space="preserve"> </w:t>
      </w:r>
    </w:p>
    <w:tbl>
      <w:tblPr>
        <w:tblStyle w:val="26"/>
        <w:tblW w:w="96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3583"/>
        <w:gridCol w:w="467"/>
        <w:gridCol w:w="466"/>
        <w:gridCol w:w="1100"/>
        <w:gridCol w:w="1150"/>
        <w:gridCol w:w="118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4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序号</w:t>
            </w:r>
          </w:p>
        </w:tc>
        <w:tc>
          <w:tcPr>
            <w:tcW w:w="35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服务分项名称</w:t>
            </w:r>
          </w:p>
        </w:tc>
        <w:tc>
          <w:tcPr>
            <w:tcW w:w="4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数量</w:t>
            </w:r>
          </w:p>
        </w:tc>
        <w:tc>
          <w:tcPr>
            <w:tcW w:w="46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单位</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Cs/>
                <w:szCs w:val="21"/>
                <w:lang w:val="en-US" w:eastAsia="zh-CN"/>
              </w:rPr>
            </w:pPr>
            <w:r>
              <w:rPr>
                <w:rFonts w:hint="eastAsia" w:ascii="宋体" w:hAnsi="宋体" w:cs="宋体"/>
                <w:bCs/>
                <w:szCs w:val="21"/>
                <w:lang w:val="en-US" w:eastAsia="zh-CN"/>
              </w:rPr>
              <w:t>限价</w:t>
            </w:r>
            <w:r>
              <w:rPr>
                <w:rFonts w:ascii="宋体" w:hAnsi="宋体" w:cs="宋体"/>
                <w:bCs/>
                <w:szCs w:val="21"/>
              </w:rPr>
              <w:t>单</w:t>
            </w:r>
            <w:r>
              <w:rPr>
                <w:rFonts w:hint="eastAsia" w:ascii="宋体" w:hAnsi="宋体" w:cs="宋体"/>
                <w:bCs/>
                <w:szCs w:val="21"/>
                <w:lang w:val="en-US" w:eastAsia="zh-CN"/>
              </w:rPr>
              <w:t>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元</w:t>
            </w:r>
            <w:r>
              <w:rPr>
                <w:rFonts w:hint="eastAsia" w:ascii="宋体" w:hAnsi="宋体" w:cs="宋体"/>
                <w:bCs/>
                <w:szCs w:val="21"/>
                <w:lang w:eastAsia="zh-CN"/>
              </w:rPr>
              <w:t>）</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Cs/>
                <w:szCs w:val="21"/>
                <w:lang w:val="en-US" w:eastAsia="zh-CN"/>
              </w:rPr>
            </w:pPr>
            <w:r>
              <w:rPr>
                <w:rFonts w:hint="eastAsia" w:ascii="宋体" w:hAnsi="宋体" w:cs="宋体"/>
                <w:bCs/>
                <w:szCs w:val="21"/>
                <w:lang w:val="en-US" w:eastAsia="zh-CN"/>
              </w:rPr>
              <w:t>报价</w:t>
            </w:r>
            <w:r>
              <w:rPr>
                <w:rFonts w:ascii="宋体" w:hAnsi="宋体" w:cs="宋体"/>
                <w:bCs/>
                <w:szCs w:val="21"/>
              </w:rPr>
              <w:t>单</w:t>
            </w:r>
            <w:r>
              <w:rPr>
                <w:rFonts w:hint="eastAsia" w:ascii="宋体" w:hAnsi="宋体" w:cs="宋体"/>
                <w:bCs/>
                <w:szCs w:val="21"/>
                <w:lang w:val="en-US" w:eastAsia="zh-CN"/>
              </w:rPr>
              <w:t>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元</w:t>
            </w:r>
            <w:r>
              <w:rPr>
                <w:rFonts w:hint="eastAsia" w:ascii="宋体" w:hAnsi="宋体" w:cs="宋体"/>
                <w:bCs/>
                <w:szCs w:val="21"/>
                <w:lang w:eastAsia="zh-CN"/>
              </w:rPr>
              <w:t>）</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szCs w:val="21"/>
                <w:lang w:val="en-US" w:eastAsia="zh-CN"/>
              </w:rPr>
            </w:pPr>
            <w:r>
              <w:rPr>
                <w:rFonts w:hint="eastAsia" w:ascii="宋体" w:hAnsi="宋体" w:cs="宋体"/>
                <w:bCs/>
                <w:szCs w:val="21"/>
                <w:lang w:val="en-US" w:eastAsia="zh-CN"/>
              </w:rPr>
              <w:t>报价小计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szCs w:val="21"/>
                <w:lang w:val="en-US" w:eastAsia="zh-CN"/>
              </w:rPr>
            </w:pPr>
            <w:r>
              <w:rPr>
                <w:rFonts w:hint="eastAsia" w:ascii="宋体" w:hAnsi="宋体" w:cs="宋体"/>
                <w:bCs/>
                <w:szCs w:val="21"/>
                <w:lang w:val="en-US" w:eastAsia="zh-CN"/>
              </w:rPr>
              <w:t>（元）</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3583" w:type="dxa"/>
            <w:noWrap w:val="0"/>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default" w:eastAsia="宋体"/>
                <w:color w:val="auto"/>
                <w:sz w:val="21"/>
                <w:szCs w:val="21"/>
                <w:vertAlign w:val="baseline"/>
                <w:lang w:val="en-US" w:eastAsia="zh-CN"/>
              </w:rPr>
              <w:t>OES-</w:t>
            </w:r>
            <w:r>
              <w:rPr>
                <w:rFonts w:hint="eastAsia"/>
                <w:color w:val="auto"/>
                <w:sz w:val="21"/>
                <w:szCs w:val="21"/>
                <w:vertAlign w:val="baseline"/>
                <w:lang w:val="en-US" w:eastAsia="zh-CN"/>
              </w:rPr>
              <w:t>科室成本管理系统6.2升级</w:t>
            </w:r>
          </w:p>
        </w:tc>
        <w:tc>
          <w:tcPr>
            <w:tcW w:w="467" w:type="dxa"/>
            <w:noWrap w:val="0"/>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bCs/>
                <w:color w:val="auto"/>
                <w:sz w:val="21"/>
                <w:szCs w:val="21"/>
                <w:lang w:val="en-US" w:eastAsia="zh-CN"/>
              </w:rPr>
              <w:t>1</w:t>
            </w:r>
          </w:p>
        </w:tc>
        <w:tc>
          <w:tcPr>
            <w:tcW w:w="466" w:type="dxa"/>
            <w:noWrap w:val="0"/>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bCs/>
                <w:color w:val="auto"/>
                <w:sz w:val="21"/>
                <w:szCs w:val="21"/>
                <w:lang w:val="en-US" w:eastAsia="zh-CN"/>
              </w:rPr>
              <w:t>项</w:t>
            </w:r>
          </w:p>
        </w:tc>
        <w:tc>
          <w:tcPr>
            <w:tcW w:w="1100" w:type="dxa"/>
            <w:noWrap w:val="0"/>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bCs/>
                <w:color w:val="auto"/>
                <w:sz w:val="21"/>
                <w:szCs w:val="21"/>
                <w:lang w:val="en-US" w:eastAsia="zh-CN"/>
              </w:rPr>
              <w:t>5930</w:t>
            </w:r>
          </w:p>
        </w:tc>
        <w:tc>
          <w:tcPr>
            <w:tcW w:w="1150" w:type="dxa"/>
            <w:noWrap w:val="0"/>
            <w:vAlign w:val="center"/>
          </w:tcPr>
          <w:p>
            <w:pPr>
              <w:widowControl/>
              <w:jc w:val="center"/>
              <w:rPr>
                <w:rFonts w:hint="default" w:ascii="宋体" w:hAnsi="宋体" w:eastAsia="宋体" w:cs="宋体"/>
                <w:kern w:val="2"/>
                <w:sz w:val="21"/>
                <w:szCs w:val="21"/>
                <w:lang w:val="en-US" w:eastAsia="zh-CN" w:bidi="ar-SA"/>
              </w:rPr>
            </w:pPr>
          </w:p>
        </w:tc>
        <w:tc>
          <w:tcPr>
            <w:tcW w:w="1188" w:type="dxa"/>
            <w:noWrap w:val="0"/>
            <w:vAlign w:val="center"/>
          </w:tcPr>
          <w:p>
            <w:pPr>
              <w:widowControl/>
              <w:jc w:val="center"/>
              <w:rPr>
                <w:rFonts w:hint="eastAsia" w:ascii="宋体" w:hAnsi="宋体" w:eastAsia="宋体" w:cs="宋体"/>
                <w:kern w:val="2"/>
                <w:sz w:val="18"/>
                <w:szCs w:val="18"/>
                <w:lang w:val="en-US" w:eastAsia="zh-CN" w:bidi="ar-SA"/>
              </w:rPr>
            </w:pP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top"/>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3583" w:type="dxa"/>
            <w:noWrap w:val="0"/>
            <w:vAlign w:val="top"/>
          </w:tcPr>
          <w:p>
            <w:pPr>
              <w:spacing w:line="360" w:lineRule="auto"/>
              <w:jc w:val="center"/>
              <w:rPr>
                <w:rFonts w:hint="eastAsia" w:ascii="宋体" w:hAnsi="宋体" w:eastAsia="宋体" w:cs="宋体"/>
                <w:color w:val="auto"/>
                <w:kern w:val="2"/>
                <w:sz w:val="21"/>
                <w:szCs w:val="21"/>
                <w:lang w:val="en-US" w:eastAsia="zh-CN" w:bidi="ar-SA"/>
              </w:rPr>
            </w:pPr>
            <w:r>
              <w:rPr>
                <w:rFonts w:hint="eastAsia"/>
                <w:color w:val="auto"/>
                <w:sz w:val="21"/>
                <w:szCs w:val="21"/>
                <w:vertAlign w:val="baseline"/>
                <w:lang w:val="en-US" w:eastAsia="zh-CN"/>
              </w:rPr>
              <w:t>基于叠加法的DIP成本管理系统</w:t>
            </w:r>
          </w:p>
        </w:tc>
        <w:tc>
          <w:tcPr>
            <w:tcW w:w="467" w:type="dxa"/>
            <w:noWrap w:val="0"/>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lang w:val="en-US" w:eastAsia="zh-CN"/>
              </w:rPr>
              <w:t>1</w:t>
            </w:r>
          </w:p>
        </w:tc>
        <w:tc>
          <w:tcPr>
            <w:tcW w:w="466" w:type="dxa"/>
            <w:noWrap w:val="0"/>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lang w:val="en-US" w:eastAsia="zh-CN"/>
              </w:rPr>
              <w:t>项</w:t>
            </w:r>
          </w:p>
        </w:tc>
        <w:tc>
          <w:tcPr>
            <w:tcW w:w="1100" w:type="dxa"/>
            <w:noWrap w:val="0"/>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lang w:val="en-US" w:eastAsia="zh-CN"/>
              </w:rPr>
              <w:t>7910</w:t>
            </w:r>
          </w:p>
        </w:tc>
        <w:tc>
          <w:tcPr>
            <w:tcW w:w="1150" w:type="dxa"/>
            <w:noWrap w:val="0"/>
            <w:vAlign w:val="center"/>
          </w:tcPr>
          <w:p>
            <w:pPr>
              <w:widowControl/>
              <w:jc w:val="center"/>
              <w:rPr>
                <w:rFonts w:hint="eastAsia" w:ascii="宋体" w:hAnsi="宋体" w:eastAsia="宋体" w:cs="宋体"/>
                <w:kern w:val="2"/>
                <w:sz w:val="21"/>
                <w:szCs w:val="21"/>
                <w:highlight w:val="none"/>
                <w:lang w:val="en-US" w:eastAsia="zh-CN" w:bidi="ar-SA"/>
              </w:rPr>
            </w:pPr>
          </w:p>
        </w:tc>
        <w:tc>
          <w:tcPr>
            <w:tcW w:w="1188" w:type="dxa"/>
            <w:noWrap w:val="0"/>
            <w:vAlign w:val="center"/>
          </w:tcPr>
          <w:p>
            <w:pPr>
              <w:widowControl/>
              <w:jc w:val="center"/>
              <w:rPr>
                <w:rFonts w:hint="eastAsia" w:ascii="宋体" w:hAnsi="宋体" w:eastAsia="宋体" w:cs="宋体"/>
                <w:kern w:val="2"/>
                <w:sz w:val="18"/>
                <w:szCs w:val="18"/>
                <w:lang w:val="en-US" w:eastAsia="zh-CN" w:bidi="ar-SA"/>
              </w:rPr>
            </w:pP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top"/>
          </w:tcPr>
          <w:p>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p>
        </w:tc>
        <w:tc>
          <w:tcPr>
            <w:tcW w:w="3583" w:type="dxa"/>
            <w:noWrap w:val="0"/>
            <w:vAlign w:val="top"/>
          </w:tcPr>
          <w:p>
            <w:pPr>
              <w:spacing w:line="360" w:lineRule="auto"/>
              <w:jc w:val="center"/>
              <w:rPr>
                <w:rFonts w:hint="eastAsia" w:ascii="宋体" w:hAnsi="宋体" w:eastAsia="宋体" w:cs="宋体"/>
                <w:color w:val="auto"/>
                <w:kern w:val="2"/>
                <w:sz w:val="21"/>
                <w:szCs w:val="21"/>
                <w:lang w:val="en-US" w:eastAsia="zh-CN" w:bidi="ar-SA"/>
              </w:rPr>
            </w:pPr>
            <w:r>
              <w:rPr>
                <w:rFonts w:hint="eastAsia"/>
                <w:color w:val="auto"/>
                <w:sz w:val="21"/>
                <w:szCs w:val="21"/>
                <w:vertAlign w:val="baseline"/>
                <w:lang w:val="en-US" w:eastAsia="zh-CN"/>
              </w:rPr>
              <w:t>基于运营口径的科室成本核算服务</w:t>
            </w:r>
          </w:p>
        </w:tc>
        <w:tc>
          <w:tcPr>
            <w:tcW w:w="467" w:type="dxa"/>
            <w:noWrap w:val="0"/>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lang w:val="en-US" w:eastAsia="zh-CN"/>
              </w:rPr>
              <w:t>1</w:t>
            </w:r>
          </w:p>
        </w:tc>
        <w:tc>
          <w:tcPr>
            <w:tcW w:w="466" w:type="dxa"/>
            <w:noWrap w:val="0"/>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lang w:val="en-US" w:eastAsia="zh-CN"/>
              </w:rPr>
              <w:t>项</w:t>
            </w:r>
          </w:p>
        </w:tc>
        <w:tc>
          <w:tcPr>
            <w:tcW w:w="1100" w:type="dxa"/>
            <w:noWrap w:val="0"/>
            <w:vAlign w:val="top"/>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lang w:val="en-US" w:eastAsia="zh-CN"/>
              </w:rPr>
              <w:t>11860</w:t>
            </w:r>
          </w:p>
        </w:tc>
        <w:tc>
          <w:tcPr>
            <w:tcW w:w="1150" w:type="dxa"/>
            <w:noWrap w:val="0"/>
            <w:vAlign w:val="center"/>
          </w:tcPr>
          <w:p>
            <w:pPr>
              <w:jc w:val="center"/>
              <w:rPr>
                <w:rFonts w:hint="eastAsia" w:ascii="宋体" w:hAnsi="宋体" w:eastAsia="宋体" w:cs="宋体"/>
                <w:kern w:val="2"/>
                <w:sz w:val="21"/>
                <w:szCs w:val="21"/>
                <w:highlight w:val="none"/>
                <w:lang w:val="en-US" w:eastAsia="zh-CN" w:bidi="ar-SA"/>
              </w:rPr>
            </w:pPr>
          </w:p>
        </w:tc>
        <w:tc>
          <w:tcPr>
            <w:tcW w:w="1188" w:type="dxa"/>
            <w:noWrap w:val="0"/>
            <w:vAlign w:val="center"/>
          </w:tcPr>
          <w:p>
            <w:pPr>
              <w:jc w:val="center"/>
              <w:rPr>
                <w:rFonts w:hint="eastAsia" w:ascii="宋体" w:hAnsi="宋体" w:eastAsia="宋体" w:cs="宋体"/>
                <w:kern w:val="2"/>
                <w:sz w:val="18"/>
                <w:szCs w:val="18"/>
                <w:lang w:val="en-US" w:eastAsia="zh-CN" w:bidi="ar-SA"/>
              </w:rPr>
            </w:pPr>
          </w:p>
        </w:tc>
        <w:tc>
          <w:tcPr>
            <w:tcW w:w="123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noWrap w:val="0"/>
            <w:vAlign w:val="top"/>
          </w:tcPr>
          <w:p>
            <w:pPr>
              <w:spacing w:line="360" w:lineRule="auto"/>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3583"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合计</w:t>
            </w:r>
          </w:p>
        </w:tc>
        <w:tc>
          <w:tcPr>
            <w:tcW w:w="467" w:type="dxa"/>
            <w:noWrap w:val="0"/>
            <w:vAlign w:val="center"/>
          </w:tcPr>
          <w:p>
            <w:pPr>
              <w:jc w:val="center"/>
              <w:rPr>
                <w:rFonts w:hint="eastAsia" w:ascii="宋体" w:hAnsi="宋体" w:eastAsia="宋体" w:cs="宋体"/>
                <w:kern w:val="2"/>
                <w:sz w:val="21"/>
                <w:szCs w:val="21"/>
                <w:highlight w:val="none"/>
                <w:lang w:val="en-US" w:eastAsia="zh-CN" w:bidi="ar-SA"/>
              </w:rPr>
            </w:pPr>
          </w:p>
        </w:tc>
        <w:tc>
          <w:tcPr>
            <w:tcW w:w="466" w:type="dxa"/>
            <w:noWrap w:val="0"/>
            <w:vAlign w:val="center"/>
          </w:tcPr>
          <w:p>
            <w:pPr>
              <w:jc w:val="center"/>
              <w:rPr>
                <w:rFonts w:hint="eastAsia" w:ascii="宋体" w:hAnsi="宋体" w:eastAsia="宋体" w:cs="宋体"/>
                <w:kern w:val="2"/>
                <w:sz w:val="21"/>
                <w:szCs w:val="21"/>
                <w:highlight w:val="none"/>
                <w:lang w:val="en-US" w:eastAsia="zh-CN" w:bidi="ar-SA"/>
              </w:rPr>
            </w:pPr>
          </w:p>
        </w:tc>
        <w:tc>
          <w:tcPr>
            <w:tcW w:w="1100" w:type="dxa"/>
            <w:noWrap w:val="0"/>
            <w:vAlign w:val="center"/>
          </w:tcPr>
          <w:p>
            <w:pPr>
              <w:jc w:val="center"/>
              <w:rPr>
                <w:rFonts w:hint="eastAsia" w:ascii="宋体" w:hAnsi="宋体" w:eastAsia="宋体" w:cs="宋体"/>
                <w:kern w:val="2"/>
                <w:sz w:val="21"/>
                <w:szCs w:val="21"/>
                <w:highlight w:val="none"/>
                <w:lang w:val="en-US" w:eastAsia="zh-CN" w:bidi="ar-SA"/>
              </w:rPr>
            </w:pPr>
          </w:p>
        </w:tc>
        <w:tc>
          <w:tcPr>
            <w:tcW w:w="1150" w:type="dxa"/>
            <w:noWrap w:val="0"/>
            <w:vAlign w:val="center"/>
          </w:tcPr>
          <w:p>
            <w:pPr>
              <w:jc w:val="center"/>
              <w:rPr>
                <w:rFonts w:hint="eastAsia" w:ascii="宋体" w:hAnsi="宋体" w:eastAsia="宋体" w:cs="宋体"/>
                <w:kern w:val="2"/>
                <w:sz w:val="21"/>
                <w:szCs w:val="21"/>
                <w:highlight w:val="none"/>
                <w:lang w:val="en-US" w:eastAsia="zh-CN" w:bidi="ar-SA"/>
              </w:rPr>
            </w:pPr>
          </w:p>
        </w:tc>
        <w:tc>
          <w:tcPr>
            <w:tcW w:w="1188" w:type="dxa"/>
            <w:noWrap w:val="0"/>
            <w:vAlign w:val="center"/>
          </w:tcPr>
          <w:p>
            <w:pPr>
              <w:jc w:val="center"/>
              <w:rPr>
                <w:rFonts w:hint="eastAsia" w:ascii="宋体" w:hAnsi="宋体" w:eastAsia="宋体" w:cs="宋体"/>
                <w:kern w:val="2"/>
                <w:sz w:val="18"/>
                <w:szCs w:val="18"/>
                <w:lang w:val="en-US" w:eastAsia="zh-CN" w:bidi="ar-SA"/>
              </w:rPr>
            </w:pPr>
          </w:p>
        </w:tc>
        <w:tc>
          <w:tcPr>
            <w:tcW w:w="123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bCs/>
                <w:color w:val="FF0000"/>
                <w:szCs w:val="21"/>
              </w:rPr>
            </w:pPr>
          </w:p>
        </w:tc>
      </w:tr>
    </w:tbl>
    <w:p>
      <w:pPr>
        <w:spacing w:line="400" w:lineRule="exact"/>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3"/>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3"/>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3"/>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  性别：  年龄： 职务：</w:t>
      </w:r>
    </w:p>
    <w:p>
      <w:pPr>
        <w:spacing w:line="440" w:lineRule="exact"/>
        <w:ind w:firstLine="480"/>
        <w:rPr>
          <w:rFonts w:ascii="仿宋_GB2312" w:eastAsia="仿宋_GB2312"/>
          <w:kern w:val="1"/>
          <w:sz w:val="24"/>
        </w:rPr>
      </w:pPr>
      <w:r>
        <w:rPr>
          <w:rFonts w:hint="eastAsia" w:ascii="仿宋_GB2312" w:eastAsia="仿宋_GB2312"/>
          <w:kern w:val="1"/>
          <w:sz w:val="24"/>
        </w:rPr>
        <w:t>系的法定代表人。为项目，签署上述项目的响应文件、进行合同谈判、签署合同和处理与之有关的一切事务。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仿宋"/>
          <w:bCs/>
          <w:sz w:val="24"/>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7"/>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827"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827"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项目概况</w:t>
            </w:r>
          </w:p>
        </w:tc>
        <w:tc>
          <w:tcPr>
            <w:tcW w:w="3701" w:type="dxa"/>
            <w:shd w:val="clear" w:color="auto" w:fill="auto"/>
            <w:noWrap w:val="0"/>
            <w:vAlign w:val="center"/>
          </w:tcPr>
          <w:p>
            <w:pPr>
              <w:ind w:firstLine="420" w:firstLineChars="200"/>
              <w:rPr>
                <w:rFonts w:ascii="宋体" w:hAnsi="宋体" w:cs="宋体"/>
                <w:b w:val="0"/>
                <w:bCs/>
                <w:szCs w:val="21"/>
              </w:rPr>
            </w:pPr>
            <w:r>
              <w:rPr>
                <w:rFonts w:hint="eastAsia" w:ascii="宋体" w:hAnsi="宋体"/>
                <w:b w:val="0"/>
                <w:bCs/>
                <w:sz w:val="21"/>
                <w:szCs w:val="21"/>
                <w:lang w:val="en-US" w:eastAsia="zh-CN"/>
              </w:rPr>
              <w:t>对合同《银医合作项目采购合同补充说明》合同编号FWHT-JS202300774，约定置换后的内容，完成建设后进行第三方检测服务，包括功能和性能测频，并出具测评报告</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2</w:t>
            </w:r>
          </w:p>
        </w:tc>
        <w:tc>
          <w:tcPr>
            <w:tcW w:w="1827"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服务范围</w:t>
            </w:r>
          </w:p>
        </w:tc>
        <w:tc>
          <w:tcPr>
            <w:tcW w:w="3701" w:type="dxa"/>
            <w:shd w:val="clear" w:color="auto" w:fill="auto"/>
            <w:noWrap w:val="0"/>
            <w:vAlign w:val="center"/>
          </w:tcPr>
          <w:p>
            <w:pPr>
              <w:ind w:firstLine="420" w:firstLineChars="200"/>
              <w:jc w:val="left"/>
              <w:rPr>
                <w:rFonts w:ascii="宋体" w:hAnsi="宋体" w:cs="宋体"/>
                <w:b w:val="0"/>
                <w:bCs/>
                <w:szCs w:val="21"/>
              </w:rPr>
            </w:pPr>
            <w:r>
              <w:rPr>
                <w:rFonts w:hint="eastAsia" w:ascii="宋体" w:hAnsi="宋体"/>
                <w:b w:val="0"/>
                <w:bCs/>
                <w:sz w:val="21"/>
                <w:szCs w:val="21"/>
                <w:lang w:val="en-US" w:eastAsia="zh-CN"/>
              </w:rPr>
              <w:t>银医合作项目采购合同中OES-科室成本管理系统6.2升级服务、基于叠加法的DIP成本管理系统、基于运营口径的科室成本核算服务三个子系统</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3</w:t>
            </w:r>
          </w:p>
        </w:tc>
        <w:tc>
          <w:tcPr>
            <w:tcW w:w="1827"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服务内容</w:t>
            </w:r>
          </w:p>
        </w:tc>
        <w:tc>
          <w:tcPr>
            <w:tcW w:w="3701" w:type="dxa"/>
            <w:shd w:val="clear" w:color="auto" w:fill="auto"/>
            <w:noWrap w:val="0"/>
            <w:vAlign w:val="center"/>
          </w:tcPr>
          <w:p>
            <w:pPr>
              <w:ind w:firstLine="420" w:firstLineChars="200"/>
              <w:rPr>
                <w:rFonts w:ascii="宋体" w:hAnsi="宋体" w:cs="宋体"/>
                <w:b w:val="0"/>
                <w:bCs/>
                <w:szCs w:val="21"/>
              </w:rPr>
            </w:pPr>
            <w:r>
              <w:rPr>
                <w:rFonts w:hint="eastAsia" w:ascii="宋体" w:hAnsi="宋体"/>
                <w:b w:val="0"/>
                <w:bCs/>
                <w:sz w:val="21"/>
                <w:szCs w:val="21"/>
                <w:lang w:val="en-US" w:eastAsia="zh-CN"/>
              </w:rPr>
              <w:t>对银医合作项目采购合同中的</w:t>
            </w:r>
            <w:r>
              <w:rPr>
                <w:rFonts w:hint="default" w:ascii="宋体" w:hAnsi="宋体"/>
                <w:b w:val="0"/>
                <w:bCs/>
                <w:sz w:val="21"/>
                <w:szCs w:val="21"/>
                <w:lang w:val="en-US" w:eastAsia="zh-CN"/>
              </w:rPr>
              <w:t>OES-</w:t>
            </w:r>
            <w:r>
              <w:rPr>
                <w:rFonts w:hint="eastAsia" w:ascii="宋体" w:hAnsi="宋体"/>
                <w:b w:val="0"/>
                <w:bCs/>
                <w:sz w:val="21"/>
                <w:szCs w:val="21"/>
                <w:lang w:val="en-US" w:eastAsia="zh-CN"/>
              </w:rPr>
              <w:t>科室成本管理系统6.2升级服务</w:t>
            </w:r>
            <w:r>
              <w:rPr>
                <w:rFonts w:hint="default" w:ascii="宋体" w:hAnsi="宋体"/>
                <w:b w:val="0"/>
                <w:bCs/>
                <w:sz w:val="21"/>
                <w:szCs w:val="21"/>
                <w:lang w:val="en-US" w:eastAsia="zh-CN"/>
              </w:rPr>
              <w:t>、</w:t>
            </w:r>
            <w:r>
              <w:rPr>
                <w:rFonts w:hint="eastAsia" w:ascii="宋体" w:hAnsi="宋体"/>
                <w:b w:val="0"/>
                <w:bCs/>
                <w:sz w:val="21"/>
                <w:szCs w:val="21"/>
                <w:lang w:val="en-US" w:eastAsia="zh-CN"/>
              </w:rPr>
              <w:t>基于叠加法的DIP成本管理系统</w:t>
            </w:r>
            <w:r>
              <w:rPr>
                <w:rFonts w:hint="default" w:ascii="宋体" w:hAnsi="宋体"/>
                <w:b w:val="0"/>
                <w:bCs/>
                <w:sz w:val="21"/>
                <w:szCs w:val="21"/>
                <w:lang w:val="en-US" w:eastAsia="zh-CN"/>
              </w:rPr>
              <w:t>、</w:t>
            </w:r>
            <w:r>
              <w:rPr>
                <w:rFonts w:hint="eastAsia" w:ascii="宋体" w:hAnsi="宋体"/>
                <w:b w:val="0"/>
                <w:bCs/>
                <w:sz w:val="21"/>
                <w:szCs w:val="21"/>
                <w:lang w:val="en-US" w:eastAsia="zh-CN"/>
              </w:rPr>
              <w:t>基于运营口径的科室成本核算服务进行功能和性能测评</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hint="eastAsia" w:ascii="宋体" w:hAnsi="宋体" w:cs="宋体"/>
                <w:kern w:val="0"/>
                <w:szCs w:val="21"/>
              </w:rPr>
              <w:t>4</w:t>
            </w:r>
          </w:p>
        </w:tc>
        <w:tc>
          <w:tcPr>
            <w:tcW w:w="1827" w:type="dxa"/>
            <w:shd w:val="clear" w:color="auto" w:fill="auto"/>
            <w:noWrap w:val="0"/>
            <w:vAlign w:val="center"/>
          </w:tcPr>
          <w:p>
            <w:pPr>
              <w:spacing w:line="360" w:lineRule="auto"/>
              <w:jc w:val="center"/>
              <w:rPr>
                <w:rFonts w:ascii="宋体" w:hAnsi="宋体" w:cs="宋体"/>
                <w:bCs/>
                <w:szCs w:val="21"/>
              </w:rPr>
            </w:pPr>
            <w:r>
              <w:rPr>
                <w:rFonts w:hint="eastAsia" w:ascii="宋体" w:hAnsi="宋体"/>
                <w:bCs/>
                <w:szCs w:val="21"/>
              </w:rPr>
              <w:t>人员要求</w:t>
            </w:r>
          </w:p>
        </w:tc>
        <w:tc>
          <w:tcPr>
            <w:tcW w:w="3701" w:type="dxa"/>
            <w:shd w:val="clear" w:color="auto" w:fill="auto"/>
            <w:noWrap w:val="0"/>
            <w:vAlign w:val="center"/>
          </w:tcPr>
          <w:p>
            <w:pPr>
              <w:ind w:firstLine="420" w:firstLineChars="200"/>
              <w:rPr>
                <w:rFonts w:ascii="宋体" w:hAnsi="宋体" w:cs="宋体"/>
                <w:b w:val="0"/>
                <w:bCs/>
                <w:szCs w:val="21"/>
              </w:rPr>
            </w:pPr>
            <w:r>
              <w:rPr>
                <w:rFonts w:hint="eastAsia" w:ascii="宋体" w:hAnsi="宋体"/>
                <w:b w:val="0"/>
                <w:bCs/>
                <w:sz w:val="21"/>
                <w:szCs w:val="21"/>
                <w:lang w:val="en-US" w:eastAsia="zh-CN"/>
              </w:rPr>
              <w:t>成立不低于2人的测评团队，成员中负责人需要具备软件评测师证书</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cs="宋体"/>
                <w:kern w:val="0"/>
                <w:szCs w:val="21"/>
                <w:lang w:val="en-US" w:eastAsia="zh-CN"/>
              </w:rPr>
              <w:t>5</w:t>
            </w:r>
          </w:p>
        </w:tc>
        <w:tc>
          <w:tcPr>
            <w:tcW w:w="1827"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成果要求</w:t>
            </w:r>
          </w:p>
        </w:tc>
        <w:tc>
          <w:tcPr>
            <w:tcW w:w="3701" w:type="dxa"/>
            <w:shd w:val="clear" w:color="auto" w:fill="auto"/>
            <w:noWrap w:val="0"/>
            <w:vAlign w:val="center"/>
          </w:tcPr>
          <w:p>
            <w:pPr>
              <w:ind w:firstLine="420" w:firstLineChars="200"/>
              <w:rPr>
                <w:rFonts w:ascii="宋体" w:hAnsi="宋体" w:cs="宋体"/>
                <w:b w:val="0"/>
                <w:bCs/>
                <w:szCs w:val="21"/>
              </w:rPr>
            </w:pPr>
            <w:r>
              <w:rPr>
                <w:rFonts w:hint="eastAsia" w:ascii="宋体" w:hAnsi="宋体"/>
                <w:b w:val="0"/>
                <w:bCs/>
                <w:sz w:val="21"/>
                <w:szCs w:val="21"/>
                <w:lang w:val="en-US" w:eastAsia="zh-CN"/>
              </w:rPr>
              <w:t>第三方验收测评报告(盖章纸质版2份，电子版1份）</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cs="宋体"/>
                <w:kern w:val="0"/>
                <w:szCs w:val="21"/>
                <w:lang w:val="en-US" w:eastAsia="zh-CN"/>
              </w:rPr>
              <w:t>6</w:t>
            </w:r>
          </w:p>
        </w:tc>
        <w:tc>
          <w:tcPr>
            <w:tcW w:w="1827"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其他要求</w:t>
            </w:r>
          </w:p>
        </w:tc>
        <w:tc>
          <w:tcPr>
            <w:tcW w:w="3701" w:type="dxa"/>
            <w:shd w:val="clear" w:color="auto" w:fill="auto"/>
            <w:noWrap w:val="0"/>
            <w:vAlign w:val="center"/>
          </w:tcPr>
          <w:p>
            <w:pPr>
              <w:ind w:firstLine="420" w:firstLineChars="200"/>
              <w:rPr>
                <w:rFonts w:ascii="宋体" w:hAnsi="宋体" w:cs="宋体"/>
                <w:bCs/>
                <w:szCs w:val="21"/>
              </w:rPr>
            </w:pPr>
            <w:r>
              <w:rPr>
                <w:rFonts w:hint="eastAsia" w:ascii="宋体" w:hAnsi="宋体"/>
                <w:b w:val="0"/>
                <w:bCs/>
                <w:sz w:val="21"/>
                <w:szCs w:val="21"/>
                <w:lang w:val="en-US" w:eastAsia="zh-CN"/>
              </w:rPr>
              <w:t>完成首次检测之后，通过书面或者邮件形式向甲方出具《检测问题单》。甲方应当在《检测问题单》签发日期起一个月内完成整改，整改完成之后以书面或者邮件形式通知乙方。接到通知15天内乙方提供一次回归测试，并出具相应结论的检测报告。</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411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417"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411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417" w:type="dxa"/>
            <w:shd w:val="clear" w:color="auto" w:fill="auto"/>
            <w:noWrap w:val="0"/>
            <w:vAlign w:val="center"/>
          </w:tcPr>
          <w:p>
            <w:pPr>
              <w:jc w:val="center"/>
              <w:rPr>
                <w:rFonts w:ascii="宋体" w:hAnsi="宋体" w:cs="宋体"/>
                <w:b/>
                <w:szCs w:val="21"/>
              </w:rPr>
            </w:pPr>
            <w:r>
              <w:rPr>
                <w:rFonts w:hint="eastAsia" w:ascii="宋体" w:hAnsi="宋体" w:cs="宋体"/>
                <w:kern w:val="0"/>
                <w:szCs w:val="21"/>
              </w:rPr>
              <w:t>报价要求</w:t>
            </w:r>
          </w:p>
        </w:tc>
        <w:tc>
          <w:tcPr>
            <w:tcW w:w="4111" w:type="dxa"/>
            <w:shd w:val="clear" w:color="auto" w:fill="auto"/>
            <w:noWrap w:val="0"/>
            <w:vAlign w:val="center"/>
          </w:tcPr>
          <w:p>
            <w:pPr>
              <w:spacing w:line="440" w:lineRule="exact"/>
              <w:outlineLvl w:val="0"/>
              <w:rPr>
                <w:rFonts w:ascii="宋体" w:hAnsi="宋体"/>
                <w:bCs/>
                <w:szCs w:val="21"/>
              </w:rPr>
            </w:pPr>
            <w:r>
              <w:rPr>
                <w:rFonts w:hint="eastAsia" w:ascii="宋体" w:hAnsi="宋体"/>
                <w:bCs/>
                <w:szCs w:val="21"/>
              </w:rPr>
              <w:t>投标总价（人民币）须是完成该项目的一切费用总和；</w:t>
            </w:r>
          </w:p>
          <w:p>
            <w:pPr>
              <w:outlineLvl w:val="0"/>
              <w:rPr>
                <w:rFonts w:ascii="宋体" w:hAnsi="宋体" w:cs="宋体"/>
                <w:bCs/>
                <w:szCs w:val="21"/>
              </w:rPr>
            </w:pPr>
            <w:r>
              <w:rPr>
                <w:rFonts w:hint="eastAsia" w:ascii="宋体" w:hAnsi="宋体"/>
                <w:bCs/>
                <w:szCs w:val="21"/>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417" w:type="dxa"/>
            <w:shd w:val="clear" w:color="auto" w:fill="auto"/>
            <w:noWrap w:val="0"/>
            <w:vAlign w:val="center"/>
          </w:tcPr>
          <w:p>
            <w:pPr>
              <w:jc w:val="center"/>
              <w:rPr>
                <w:rFonts w:ascii="宋体" w:hAnsi="宋体" w:cs="宋体"/>
                <w:szCs w:val="21"/>
              </w:rPr>
            </w:pPr>
            <w:r>
              <w:rPr>
                <w:rFonts w:hint="eastAsia" w:ascii="宋体" w:hAnsi="宋体" w:cs="宋体"/>
                <w:kern w:val="0"/>
                <w:szCs w:val="21"/>
              </w:rPr>
              <w:t>付款方式</w:t>
            </w:r>
          </w:p>
        </w:tc>
        <w:tc>
          <w:tcPr>
            <w:tcW w:w="4111" w:type="dxa"/>
            <w:shd w:val="clear" w:color="auto" w:fill="auto"/>
            <w:noWrap w:val="0"/>
            <w:vAlign w:val="center"/>
          </w:tcPr>
          <w:p>
            <w:pPr>
              <w:rPr>
                <w:rFonts w:ascii="宋体" w:hAnsi="宋体" w:cs="宋体"/>
                <w:bCs/>
                <w:szCs w:val="21"/>
              </w:rPr>
            </w:pPr>
            <w:r>
              <w:rPr>
                <w:rFonts w:hint="eastAsia" w:ascii="宋体" w:hAnsi="宋体" w:eastAsia="宋体" w:cs="宋体"/>
                <w:kern w:val="0"/>
                <w:sz w:val="21"/>
                <w:szCs w:val="21"/>
                <w:lang w:val="en-US" w:eastAsia="zh-CN"/>
              </w:rPr>
              <w:t>中标</w:t>
            </w:r>
            <w:r>
              <w:rPr>
                <w:rFonts w:hint="eastAsia" w:ascii="宋体" w:hAnsi="宋体" w:eastAsia="宋体" w:cs="宋体"/>
                <w:kern w:val="0"/>
                <w:sz w:val="21"/>
                <w:szCs w:val="21"/>
                <w:lang w:val="en-US" w:eastAsia="zh-CN" w:bidi="ar"/>
              </w:rPr>
              <w:t>方交付</w:t>
            </w:r>
            <w:r>
              <w:rPr>
                <w:rFonts w:hint="eastAsia" w:ascii="宋体" w:hAnsi="宋体" w:eastAsia="宋体" w:cs="宋体"/>
                <w:kern w:val="0"/>
                <w:sz w:val="21"/>
                <w:szCs w:val="21"/>
                <w:lang w:bidi="ar"/>
              </w:rPr>
              <w:t>检测报告后</w:t>
            </w:r>
            <w:r>
              <w:rPr>
                <w:rFonts w:hint="eastAsia" w:ascii="宋体" w:hAnsi="宋体" w:eastAsia="宋体" w:cs="宋体"/>
                <w:kern w:val="0"/>
                <w:sz w:val="21"/>
                <w:szCs w:val="21"/>
              </w:rPr>
              <w:t>，采购方在收到中标方开具的等额发票后，向中标方支付合同总价</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100</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%的款项</w:t>
            </w:r>
            <w:r>
              <w:rPr>
                <w:rFonts w:hint="eastAsia" w:ascii="宋体" w:hAnsi="宋体" w:cs="宋体"/>
                <w:kern w:val="0"/>
                <w:sz w:val="21"/>
                <w:szCs w:val="21"/>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3</w:t>
            </w:r>
          </w:p>
        </w:tc>
        <w:tc>
          <w:tcPr>
            <w:tcW w:w="1417" w:type="dxa"/>
            <w:shd w:val="clear" w:color="auto" w:fill="auto"/>
            <w:noWrap w:val="0"/>
            <w:vAlign w:val="center"/>
          </w:tcPr>
          <w:p>
            <w:pPr>
              <w:jc w:val="center"/>
              <w:rPr>
                <w:rFonts w:ascii="宋体" w:hAnsi="宋体" w:cs="宋体"/>
                <w:b/>
                <w:bCs/>
                <w:szCs w:val="21"/>
              </w:rPr>
            </w:pPr>
            <w:r>
              <w:rPr>
                <w:rFonts w:hint="eastAsia" w:ascii="宋体" w:hAnsi="宋体" w:cs="宋体"/>
                <w:kern w:val="0"/>
                <w:szCs w:val="21"/>
              </w:rPr>
              <w:t>服务地点</w:t>
            </w:r>
          </w:p>
        </w:tc>
        <w:tc>
          <w:tcPr>
            <w:tcW w:w="4111" w:type="dxa"/>
            <w:shd w:val="clear" w:color="auto" w:fill="auto"/>
            <w:noWrap w:val="0"/>
            <w:vAlign w:val="center"/>
          </w:tcPr>
          <w:p>
            <w:pPr>
              <w:rPr>
                <w:rFonts w:ascii="宋体" w:hAnsi="宋体" w:cs="宋体"/>
                <w:bCs/>
                <w:szCs w:val="21"/>
              </w:rPr>
            </w:pPr>
            <w:r>
              <w:rPr>
                <w:rFonts w:hint="eastAsia" w:ascii="宋体" w:hAnsi="宋体"/>
                <w:b w:val="0"/>
                <w:bCs/>
                <w:sz w:val="21"/>
                <w:szCs w:val="21"/>
                <w:lang w:val="en-US" w:eastAsia="zh-CN"/>
              </w:rPr>
              <w:t>深圳市光明区人民医院</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4</w:t>
            </w:r>
          </w:p>
        </w:tc>
        <w:tc>
          <w:tcPr>
            <w:tcW w:w="1417" w:type="dxa"/>
            <w:shd w:val="clear" w:color="auto" w:fill="auto"/>
            <w:noWrap w:val="0"/>
            <w:vAlign w:val="center"/>
          </w:tcPr>
          <w:p>
            <w:pPr>
              <w:jc w:val="center"/>
              <w:rPr>
                <w:rFonts w:hint="eastAsia" w:ascii="宋体" w:hAnsi="宋体" w:cs="宋体"/>
                <w:b/>
                <w:bCs/>
                <w:szCs w:val="21"/>
              </w:rPr>
            </w:pPr>
            <w:r>
              <w:rPr>
                <w:rFonts w:hint="eastAsia" w:ascii="宋体" w:hAnsi="宋体" w:cs="宋体"/>
                <w:kern w:val="0"/>
                <w:szCs w:val="21"/>
              </w:rPr>
              <w:t>服务期限</w:t>
            </w:r>
          </w:p>
        </w:tc>
        <w:tc>
          <w:tcPr>
            <w:tcW w:w="4111" w:type="dxa"/>
            <w:shd w:val="clear" w:color="auto" w:fill="auto"/>
            <w:noWrap w:val="0"/>
            <w:vAlign w:val="center"/>
          </w:tcPr>
          <w:p>
            <w:pPr>
              <w:rPr>
                <w:rFonts w:hint="eastAsia" w:ascii="宋体" w:hAnsi="宋体" w:cs="宋体"/>
                <w:bCs/>
                <w:szCs w:val="21"/>
              </w:rPr>
            </w:pPr>
            <w:r>
              <w:rPr>
                <w:rFonts w:hint="eastAsia" w:ascii="宋体" w:hAnsi="宋体" w:cs="宋体"/>
                <w:kern w:val="0"/>
                <w:sz w:val="21"/>
                <w:szCs w:val="21"/>
              </w:rPr>
              <w:t>自合同签订之日起</w:t>
            </w:r>
            <w:r>
              <w:rPr>
                <w:rFonts w:hint="eastAsia" w:ascii="宋体" w:hAnsi="宋体" w:cs="宋体"/>
                <w:kern w:val="0"/>
                <w:sz w:val="21"/>
                <w:szCs w:val="21"/>
                <w:lang w:val="en-US" w:eastAsia="zh-CN"/>
              </w:rPr>
              <w:t>至第三方检测结束止</w:t>
            </w:r>
            <w:r>
              <w:rPr>
                <w:rFonts w:hint="eastAsia" w:ascii="宋体" w:hAnsi="宋体" w:cs="宋体"/>
                <w:kern w:val="0"/>
                <w:sz w:val="21"/>
                <w:szCs w:val="21"/>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5</w:t>
            </w:r>
          </w:p>
        </w:tc>
        <w:tc>
          <w:tcPr>
            <w:tcW w:w="1417"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违约金</w:t>
            </w:r>
          </w:p>
        </w:tc>
        <w:tc>
          <w:tcPr>
            <w:tcW w:w="4111" w:type="dxa"/>
            <w:shd w:val="clear" w:color="auto" w:fill="auto"/>
            <w:noWrap w:val="0"/>
            <w:vAlign w:val="center"/>
          </w:tcPr>
          <w:p>
            <w:pPr>
              <w:rPr>
                <w:rFonts w:ascii="宋体" w:hAnsi="宋体" w:cs="宋体"/>
                <w:bCs/>
                <w:szCs w:val="21"/>
              </w:rPr>
            </w:pPr>
            <w:r>
              <w:rPr>
                <w:rFonts w:hint="eastAsia" w:ascii="宋体" w:hAnsi="宋体" w:cs="宋体"/>
                <w:kern w:val="0"/>
                <w:sz w:val="21"/>
                <w:szCs w:val="21"/>
              </w:rPr>
              <w:t>违约金为占中标价的</w:t>
            </w:r>
            <w:r>
              <w:rPr>
                <w:rFonts w:ascii="宋体" w:hAnsi="宋体" w:cs="宋体"/>
                <w:kern w:val="0"/>
                <w:sz w:val="21"/>
                <w:szCs w:val="21"/>
              </w:rPr>
              <w:t>20</w:t>
            </w:r>
            <w:r>
              <w:rPr>
                <w:rFonts w:hint="eastAsia" w:ascii="宋体" w:hAnsi="宋体" w:cs="宋体"/>
                <w:kern w:val="0"/>
                <w:sz w:val="21"/>
                <w:szCs w:val="21"/>
              </w:rPr>
              <w:t>%（医院规定不得低于2</w:t>
            </w:r>
            <w:r>
              <w:rPr>
                <w:rFonts w:ascii="宋体" w:hAnsi="宋体" w:cs="宋体"/>
                <w:kern w:val="0"/>
                <w:sz w:val="21"/>
                <w:szCs w:val="21"/>
              </w:rPr>
              <w:t>0</w:t>
            </w:r>
            <w:r>
              <w:rPr>
                <w:rFonts w:hint="eastAsia" w:ascii="宋体" w:hAnsi="宋体" w:cs="宋体"/>
                <w:kern w:val="0"/>
                <w:sz w:val="21"/>
                <w:szCs w:val="21"/>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6</w:t>
            </w:r>
          </w:p>
        </w:tc>
        <w:tc>
          <w:tcPr>
            <w:tcW w:w="1417" w:type="dxa"/>
            <w:shd w:val="clear" w:color="auto" w:fill="auto"/>
            <w:noWrap w:val="0"/>
            <w:vAlign w:val="center"/>
          </w:tcPr>
          <w:p>
            <w:pPr>
              <w:spacing w:line="360" w:lineRule="auto"/>
              <w:jc w:val="center"/>
              <w:rPr>
                <w:rFonts w:ascii="宋体" w:hAnsi="宋体" w:cs="宋体"/>
                <w:bCs/>
                <w:szCs w:val="21"/>
              </w:rPr>
            </w:pPr>
            <w:r>
              <w:rPr>
                <w:rFonts w:hint="eastAsia" w:ascii="宋体" w:hAnsi="宋体" w:cs="宋体"/>
                <w:kern w:val="0"/>
                <w:szCs w:val="21"/>
              </w:rPr>
              <w:t>违约责任</w:t>
            </w:r>
          </w:p>
        </w:tc>
        <w:tc>
          <w:tcPr>
            <w:tcW w:w="4111" w:type="dxa"/>
            <w:shd w:val="clear" w:color="auto" w:fill="auto"/>
            <w:noWrap w:val="0"/>
            <w:vAlign w:val="center"/>
          </w:tcPr>
          <w:p>
            <w:pPr>
              <w:widowControl/>
              <w:numPr>
                <w:ilvl w:val="1"/>
                <w:numId w:val="2"/>
              </w:numPr>
              <w:tabs>
                <w:tab w:val="left" w:pos="851"/>
              </w:tabs>
              <w:spacing w:line="360" w:lineRule="auto"/>
              <w:ind w:firstLine="400" w:firstLineChars="0"/>
              <w:jc w:val="left"/>
              <w:rPr>
                <w:rFonts w:hint="eastAsia" w:ascii="宋体" w:hAnsi="宋体" w:eastAsia="宋体" w:cs="宋体"/>
                <w:bCs w:val="0"/>
                <w:kern w:val="0"/>
                <w:sz w:val="21"/>
                <w:szCs w:val="21"/>
                <w:lang w:bidi="ar"/>
              </w:rPr>
            </w:pPr>
            <w:r>
              <w:rPr>
                <w:rFonts w:hint="eastAsia" w:ascii="宋体" w:hAnsi="宋体" w:eastAsia="宋体" w:cs="宋体"/>
                <w:bCs w:val="0"/>
                <w:kern w:val="0"/>
                <w:sz w:val="21"/>
                <w:szCs w:val="21"/>
                <w:lang w:bidi="ar"/>
              </w:rPr>
              <w:t>甲方和乙方若单方面解除合同，或有其他违反本合同的行为，违约方</w:t>
            </w:r>
            <w:r>
              <w:rPr>
                <w:rFonts w:hint="eastAsia" w:ascii="宋体" w:hAnsi="宋体" w:eastAsia="宋体" w:cs="宋体"/>
                <w:bCs w:val="0"/>
                <w:kern w:val="0"/>
                <w:sz w:val="21"/>
                <w:szCs w:val="21"/>
                <w:lang w:val="en-US" w:eastAsia="zh-CN" w:bidi="ar"/>
              </w:rPr>
              <w:t>应当承担合同金额20%的违约金。</w:t>
            </w:r>
          </w:p>
          <w:p>
            <w:pPr>
              <w:widowControl/>
              <w:numPr>
                <w:ilvl w:val="1"/>
                <w:numId w:val="2"/>
              </w:numPr>
              <w:tabs>
                <w:tab w:val="left" w:pos="851"/>
              </w:tabs>
              <w:spacing w:line="360" w:lineRule="auto"/>
              <w:ind w:firstLine="400" w:firstLineChars="0"/>
              <w:jc w:val="left"/>
              <w:rPr>
                <w:rFonts w:hint="eastAsia" w:ascii="宋体" w:hAnsi="宋体" w:eastAsia="宋体" w:cs="宋体"/>
                <w:bCs w:val="0"/>
                <w:kern w:val="0"/>
                <w:sz w:val="21"/>
                <w:szCs w:val="21"/>
                <w:lang w:bidi="ar"/>
              </w:rPr>
            </w:pPr>
            <w:r>
              <w:rPr>
                <w:rFonts w:hint="eastAsia" w:ascii="宋体" w:hAnsi="宋体" w:eastAsia="宋体" w:cs="宋体"/>
                <w:bCs w:val="0"/>
                <w:kern w:val="0"/>
                <w:sz w:val="21"/>
                <w:szCs w:val="21"/>
                <w:lang w:bidi="ar"/>
              </w:rPr>
              <w:t>除不可抗力因素</w:t>
            </w:r>
            <w:r>
              <w:rPr>
                <w:rFonts w:hint="eastAsia" w:ascii="宋体" w:hAnsi="宋体" w:eastAsia="宋体" w:cs="宋体"/>
                <w:bCs w:val="0"/>
                <w:kern w:val="0"/>
                <w:sz w:val="21"/>
                <w:szCs w:val="21"/>
                <w:lang w:eastAsia="zh-CN" w:bidi="ar"/>
              </w:rPr>
              <w:t>、</w:t>
            </w:r>
            <w:r>
              <w:rPr>
                <w:rFonts w:hint="eastAsia" w:ascii="宋体" w:hAnsi="宋体" w:eastAsia="宋体" w:cs="宋体"/>
                <w:bCs w:val="0"/>
                <w:kern w:val="0"/>
                <w:sz w:val="21"/>
                <w:szCs w:val="21"/>
                <w:lang w:val="en-US" w:eastAsia="zh-CN" w:bidi="ar"/>
              </w:rPr>
              <w:t>财政资金拨款未到位</w:t>
            </w:r>
            <w:r>
              <w:rPr>
                <w:rFonts w:hint="eastAsia" w:ascii="宋体" w:hAnsi="宋体" w:eastAsia="宋体" w:cs="宋体"/>
                <w:bCs w:val="0"/>
                <w:kern w:val="0"/>
                <w:sz w:val="21"/>
                <w:szCs w:val="21"/>
                <w:lang w:bidi="ar"/>
              </w:rPr>
              <w:t>和乙方的原因外，若甲方拖延支付项目款给乙方，每逾期一日，甲方应向乙方支付本合同额0.2％的逾期违约金</w:t>
            </w:r>
            <w:r>
              <w:rPr>
                <w:rFonts w:hint="eastAsia" w:ascii="宋体" w:hAnsi="宋体" w:eastAsia="宋体" w:cs="宋体"/>
                <w:bCs w:val="0"/>
                <w:kern w:val="0"/>
                <w:sz w:val="21"/>
                <w:szCs w:val="21"/>
                <w:lang w:eastAsia="zh-CN" w:bidi="ar"/>
              </w:rPr>
              <w:t>，</w:t>
            </w:r>
            <w:r>
              <w:rPr>
                <w:rFonts w:hint="eastAsia" w:ascii="宋体" w:hAnsi="宋体" w:eastAsia="宋体" w:cs="宋体"/>
                <w:bCs w:val="0"/>
                <w:kern w:val="0"/>
                <w:sz w:val="21"/>
                <w:szCs w:val="21"/>
                <w:lang w:val="en-US" w:eastAsia="zh-CN" w:bidi="ar"/>
              </w:rPr>
              <w:t>最多不超过合同金额20%，超过100天未交付的，乙方有权终止合同</w:t>
            </w:r>
            <w:r>
              <w:rPr>
                <w:rFonts w:hint="eastAsia" w:ascii="宋体" w:hAnsi="宋体" w:eastAsia="宋体" w:cs="宋体"/>
                <w:bCs w:val="0"/>
                <w:kern w:val="0"/>
                <w:sz w:val="21"/>
                <w:szCs w:val="21"/>
                <w:lang w:bidi="ar"/>
              </w:rPr>
              <w:t>。</w:t>
            </w:r>
          </w:p>
          <w:p>
            <w:pPr>
              <w:widowControl/>
              <w:numPr>
                <w:ilvl w:val="1"/>
                <w:numId w:val="2"/>
              </w:numPr>
              <w:tabs>
                <w:tab w:val="left" w:pos="851"/>
              </w:tabs>
              <w:spacing w:line="360" w:lineRule="auto"/>
              <w:ind w:firstLine="400" w:firstLineChars="0"/>
              <w:jc w:val="left"/>
              <w:rPr>
                <w:rFonts w:hint="eastAsia" w:ascii="宋体" w:hAnsi="宋体" w:eastAsia="宋体" w:cs="宋体"/>
                <w:bCs w:val="0"/>
                <w:kern w:val="0"/>
                <w:sz w:val="21"/>
                <w:szCs w:val="21"/>
                <w:lang w:bidi="ar"/>
              </w:rPr>
            </w:pPr>
            <w:r>
              <w:rPr>
                <w:rFonts w:hint="eastAsia" w:ascii="宋体" w:hAnsi="宋体" w:eastAsia="宋体" w:cs="宋体"/>
                <w:bCs w:val="0"/>
                <w:kern w:val="0"/>
                <w:sz w:val="21"/>
                <w:szCs w:val="21"/>
                <w:lang w:bidi="ar"/>
              </w:rPr>
              <w:t>未经甲方允许，由于乙方的违规操作造成甲方的损失，乙方应进行赔偿，最高不超过本合同总金额的</w:t>
            </w:r>
            <w:r>
              <w:rPr>
                <w:rFonts w:hint="eastAsia" w:ascii="宋体" w:hAnsi="宋体" w:eastAsia="宋体" w:cs="宋体"/>
                <w:bCs w:val="0"/>
                <w:kern w:val="0"/>
                <w:sz w:val="21"/>
                <w:szCs w:val="21"/>
                <w:lang w:eastAsia="zh-CN" w:bidi="ar"/>
              </w:rPr>
              <w:t>2</w:t>
            </w:r>
            <w:r>
              <w:rPr>
                <w:rFonts w:hint="eastAsia" w:ascii="宋体" w:hAnsi="宋体" w:eastAsia="宋体" w:cs="宋体"/>
                <w:bCs w:val="0"/>
                <w:kern w:val="0"/>
                <w:sz w:val="21"/>
                <w:szCs w:val="21"/>
                <w:lang w:val="en-US" w:eastAsia="zh-CN" w:bidi="ar"/>
              </w:rPr>
              <w:t>0</w:t>
            </w:r>
            <w:r>
              <w:rPr>
                <w:rFonts w:hint="eastAsia" w:ascii="宋体" w:hAnsi="宋体" w:eastAsia="宋体" w:cs="宋体"/>
                <w:bCs w:val="0"/>
                <w:kern w:val="0"/>
                <w:sz w:val="21"/>
                <w:szCs w:val="21"/>
                <w:lang w:bidi="ar"/>
              </w:rPr>
              <w:t>％。</w:t>
            </w:r>
          </w:p>
          <w:p>
            <w:pPr>
              <w:widowControl/>
              <w:numPr>
                <w:ilvl w:val="1"/>
                <w:numId w:val="2"/>
              </w:numPr>
              <w:spacing w:line="360" w:lineRule="auto"/>
              <w:ind w:firstLine="400" w:firstLineChars="0"/>
              <w:jc w:val="left"/>
              <w:rPr>
                <w:rFonts w:ascii="宋体" w:hAnsi="宋体" w:cs="宋体"/>
                <w:bCs/>
                <w:szCs w:val="21"/>
              </w:rPr>
            </w:pPr>
            <w:r>
              <w:rPr>
                <w:rFonts w:hint="eastAsia" w:ascii="宋体" w:hAnsi="宋体" w:eastAsia="宋体" w:cs="宋体"/>
                <w:bCs w:val="0"/>
                <w:kern w:val="0"/>
                <w:sz w:val="21"/>
                <w:szCs w:val="21"/>
                <w:lang w:val="en-US" w:eastAsia="zh-CN" w:bidi="ar"/>
              </w:rPr>
              <w:t>乙方如延期交付一日则承担0.2%违约金，最多不超过合同金额20%，超过100天未交付的，甲方有权终止合同，并要求乙方赔偿造成的经济损失。</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B29EF"/>
    <w:multiLevelType w:val="multilevel"/>
    <w:tmpl w:val="D8CB29E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176C764F"/>
    <w:multiLevelType w:val="singleLevel"/>
    <w:tmpl w:val="176C764F"/>
    <w:lvl w:ilvl="0" w:tentative="0">
      <w:start w:val="5"/>
      <w:numFmt w:val="chineseCounting"/>
      <w:suff w:val="nothing"/>
      <w:lvlText w:val="%1、"/>
      <w:lvlJc w:val="left"/>
      <w:rPr>
        <w:rFonts w:hint="eastAsia"/>
      </w:rPr>
    </w:lvl>
  </w:abstractNum>
  <w:abstractNum w:abstractNumId="2">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AEF0E22"/>
    <w:rsid w:val="0C3A367E"/>
    <w:rsid w:val="0E403D1E"/>
    <w:rsid w:val="11632A7A"/>
    <w:rsid w:val="11E1507D"/>
    <w:rsid w:val="12130868"/>
    <w:rsid w:val="13120B8E"/>
    <w:rsid w:val="14A2142E"/>
    <w:rsid w:val="14B2056E"/>
    <w:rsid w:val="151A38E7"/>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1397652"/>
    <w:rsid w:val="340B05CA"/>
    <w:rsid w:val="349A01E6"/>
    <w:rsid w:val="357018C9"/>
    <w:rsid w:val="36FD6B0A"/>
    <w:rsid w:val="377B0DE5"/>
    <w:rsid w:val="378368B1"/>
    <w:rsid w:val="3811282F"/>
    <w:rsid w:val="388234B9"/>
    <w:rsid w:val="38F24FDF"/>
    <w:rsid w:val="39691DAD"/>
    <w:rsid w:val="3AFA6A91"/>
    <w:rsid w:val="3D0D6E16"/>
    <w:rsid w:val="3E557B31"/>
    <w:rsid w:val="40786146"/>
    <w:rsid w:val="41F82BFF"/>
    <w:rsid w:val="42954217"/>
    <w:rsid w:val="435D7B9E"/>
    <w:rsid w:val="44DC5C91"/>
    <w:rsid w:val="48B869E3"/>
    <w:rsid w:val="49283978"/>
    <w:rsid w:val="4AC3598A"/>
    <w:rsid w:val="4B7021FD"/>
    <w:rsid w:val="4C134D64"/>
    <w:rsid w:val="4F7B0D68"/>
    <w:rsid w:val="508B4EF2"/>
    <w:rsid w:val="541325BE"/>
    <w:rsid w:val="5511346F"/>
    <w:rsid w:val="55D76AD1"/>
    <w:rsid w:val="58B018A6"/>
    <w:rsid w:val="5BB74793"/>
    <w:rsid w:val="5BE6321A"/>
    <w:rsid w:val="5CD56B1E"/>
    <w:rsid w:val="5F2F3419"/>
    <w:rsid w:val="60171C22"/>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5E5F99"/>
    <w:rsid w:val="76A00B80"/>
    <w:rsid w:val="772B353E"/>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qFormat/>
    <w:uiPriority w:val="0"/>
    <w:rPr>
      <w:b/>
      <w:bCs/>
    </w:rPr>
  </w:style>
  <w:style w:type="paragraph" w:styleId="25">
    <w:name w:val="Body Text First Indent 2"/>
    <w:basedOn w:val="15"/>
    <w:link w:val="48"/>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qFormat/>
    <w:uiPriority w:val="0"/>
    <w:rPr>
      <w:kern w:val="2"/>
      <w:sz w:val="21"/>
      <w:szCs w:val="24"/>
    </w:rPr>
  </w:style>
  <w:style w:type="character" w:customStyle="1" w:styleId="42">
    <w:name w:val="批注文字 Char"/>
    <w:link w:val="13"/>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qFormat/>
    <w:uiPriority w:val="0"/>
    <w:rPr>
      <w:kern w:val="2"/>
      <w:sz w:val="18"/>
      <w:szCs w:val="18"/>
    </w:rPr>
  </w:style>
  <w:style w:type="character" w:customStyle="1" w:styleId="46">
    <w:name w:val="HTML 预设格式 Char"/>
    <w:link w:val="22"/>
    <w:semiHidden/>
    <w:qFormat/>
    <w:uiPriority w:val="0"/>
    <w:rPr>
      <w:rFonts w:ascii="宋体" w:hAnsi="宋体" w:eastAsia="宋体" w:cs="宋体"/>
      <w:sz w:val="24"/>
      <w:szCs w:val="24"/>
      <w:lang w:val="en-US" w:eastAsia="zh-CN" w:bidi="ar-SA"/>
    </w:rPr>
  </w:style>
  <w:style w:type="character" w:customStyle="1" w:styleId="47">
    <w:name w:val="批注主题 Char"/>
    <w:link w:val="24"/>
    <w:qFormat/>
    <w:uiPriority w:val="0"/>
    <w:rPr>
      <w:b/>
      <w:bCs/>
      <w:kern w:val="2"/>
      <w:sz w:val="21"/>
      <w:szCs w:val="24"/>
    </w:rPr>
  </w:style>
  <w:style w:type="character" w:customStyle="1" w:styleId="48">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qFormat/>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qFormat/>
    <w:uiPriority w:val="0"/>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qFormat/>
    <w:uiPriority w:val="0"/>
    <w:rPr>
      <w:rFonts w:ascii="Tahoma" w:hAnsi="Tahoma"/>
      <w:b/>
      <w:kern w:val="0"/>
      <w:sz w:val="28"/>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qFormat/>
    <w:uiPriority w:val="0"/>
    <w:pPr>
      <w:ind w:left="991" w:leftChars="472"/>
    </w:pPr>
    <w:rPr>
      <w:rFonts w:ascii="宋体" w:hAnsi="宋体" w:eastAsia="宋体" w:cs="Times New Roman"/>
      <w:color w:val="000000"/>
      <w:szCs w:val="21"/>
    </w:rPr>
  </w:style>
  <w:style w:type="paragraph" w:customStyle="1" w:styleId="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qFormat/>
    <w:uiPriority w:val="0"/>
    <w:pPr>
      <w:ind w:firstLine="420" w:firstLineChars="200"/>
    </w:pPr>
    <w:rPr>
      <w:kern w:val="0"/>
      <w:sz w:val="24"/>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qFormat/>
    <w:uiPriority w:val="0"/>
    <w:pPr>
      <w:spacing w:line="200" w:lineRule="atLeast"/>
      <w:ind w:left="425" w:hanging="425"/>
      <w:jc w:val="left"/>
    </w:pPr>
    <w:rPr>
      <w:rFonts w:ascii="宋体" w:hAnsi="宋体"/>
      <w:b/>
      <w:sz w:val="24"/>
      <w:szCs w:val="28"/>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qFormat/>
    <w:uiPriority w:val="0"/>
    <w:rPr>
      <w:rFonts w:ascii="Times New Roman" w:hAnsi="Times New Roman"/>
      <w:sz w:val="24"/>
      <w:szCs w:val="20"/>
    </w:rPr>
  </w:style>
  <w:style w:type="paragraph" w:customStyle="1" w:styleId="112">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4442</Words>
  <Characters>4684</Characters>
  <Lines>32</Lines>
  <Paragraphs>9</Paragraphs>
  <TotalTime>1</TotalTime>
  <ScaleCrop>false</ScaleCrop>
  <LinksUpToDate>false</LinksUpToDate>
  <CharactersWithSpaces>5127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2024-06-18T01:46:36Z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84C6D32A5B534EE9B3F1DF97F217B975_13</vt:lpwstr>
  </property>
</Properties>
</file>