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_GB2312" w:hAnsi="楷体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深圳市光明区人民医院2024年度工作要点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坚持以习近平新时代中国特色社会主义思想为指导，全面贯彻落实党的二十大和二十届二中全会精神，按照区二届二次党代会工作安排，牢牢把握高质量发展首要任务，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坚持党建引领医院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发展建设，创新促进“医、教、研、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、管”全面提升，凝聚医院高质量发展的强大合力。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以“提质增效”为主线，进一步改善患者就医环境和医务人员执医环境，提升医疗技术质量和医疗服务质量，不断增强人民群众就医获得感、幸福感和安全感。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坚持系统推进，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打赢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国际医院认证攻坚战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评审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时间节点，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压实院科两主体责任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，对发现问题立行立改，明确责任清单和完成时限，确保存在问题整改到位，对照《医院质量国际认证标准（2021版）》条款要求，建立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常态化督导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工作机制，以三甲创建精神，推动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国际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医院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评审工作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通过国际认证。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二、以“国考”为抓手，助推医院高质量发展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持续推进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高质量紧密型医疗集团、研究型医院、临床重点专科群、高质量人才队伍、“三位一体”智慧医院等“五大任务”，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深入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实施医疗服务质量提升、改善患者就医体验、管理效能提升、科研攻关、基层党建品牌提升等“五大行动”，实现医学中心建设、社康改革、运营管理新突破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强化医院、社管中心、社康中心三级院感防控督导机制，为患者提供高效、安全、便捷诊疗服务。持续开展全员院感防控培训考核，优化各类应急处置预案，保障各项诊疗服务正常开展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同时以“国考”为导向，对照标准找差距，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完善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医疗服务与质量安全指标监测体系，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科学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设定院科两级目标值，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紧抓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综合目标考核管理，实现门诊住院服务量增幅10%，完成4级手术3500例，微创手术4800例，力争医院“国考”挺进A等级，满意度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保持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全市前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20名。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三、加强学科建设，提升医院核心竞争力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推动国家创伤中心创建工作，提升区域急危重症救治能力。强化区级重点学科年度综合目标绩效管理和质量控制，推动重点学科建设在医、教、研、产、管迈上新台阶。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在上级的支持和指导下，完成临床专科评估和发展规划项目，为全院学科规划布局提供决策支撑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盯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区域内疾病谱和重点疾病诊疗需求，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深化专科与全科协同机制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，遴选2-3个重点学科、特色学科、重点实验室，争取具备市级重点学科申报条件。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四、推进智慧医疗，完成电子病历五级创建任务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全面完成</w:t>
      </w:r>
      <w:r>
        <w:rPr>
          <w:rFonts w:ascii="仿宋_GB2312" w:hAnsi="宋体" w:eastAsia="仿宋_GB2312" w:cs="宋体"/>
          <w:color w:val="000000"/>
          <w:sz w:val="32"/>
          <w:szCs w:val="32"/>
        </w:rPr>
        <w:t>医院更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名</w:t>
      </w:r>
      <w:r>
        <w:rPr>
          <w:rFonts w:ascii="仿宋_GB2312" w:hAnsi="宋体" w:eastAsia="仿宋_GB2312" w:cs="宋体"/>
          <w:color w:val="000000"/>
          <w:sz w:val="32"/>
          <w:szCs w:val="32"/>
        </w:rPr>
        <w:t>后软硬件信息系统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更新，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强化信息化电子病历应用水平评价、智慧服务应用水平评价、智慧管理应用水平评价评级工作，以“三甲”创建精神，细化电子病历五级创建措施，夯实各科室主体责任，全面做好医、护、药、技等人员的培训考核，扎实做好国家评审申报和现场考核准备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五、创新合作模式，持续提升科研教学质量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以临床医学院为平台，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创新院校合作模式，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开展高质量临床教学和临床实习，提升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科研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教学水平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加强临床科研素质培训，将人均科研经费纳入临床科室年度综合目标考核指标，发挥国家药物/器械临床实验平台作用，建立与高等院校、研究院所、高新技术企业合作机制，提升科研成果与临床应用转化率。强化博士后进站绩效目标管理，鼓励博士、博士后承担高层次科研项目，落实重点学科科研攻关责任，不断提升科研项目的规模和质量，争取科研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项目资助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经费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达到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2500万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以上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六、重改革驱动，激活人力资源效能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推进人事薪酬制度改革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，开展医院各科室岗位定岗定编，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探索社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康中心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管理模式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增强社区卫生健康服务能力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围绕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医院发展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战略与目标要求，做好人才引进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和培养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工作，引进10-15名学科带头人和骨干，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搭建科学合理的学科人才梯队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形成专科发展互相支撑、专业结构配比合理的人才队伍。以绩效考核为抓手，强化日常监督和激励，充分调动干部员工干事创业积极性。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七、积极统筹协调，加快重点建设项目进度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积极协调沟通上级主管部门，2024年上半年全面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完成医院标识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标牌更新项目。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结合新院区项目建设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进度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扎实推进新院区医学装备配置、信息化配套项目、开办费申报等重点项目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。完成东院区门诊医技楼消防及综合改造工程项目、西院区门急诊住院综合楼整体修缮改造项目的结（决）算工作。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推动新建10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家社康中心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，进一步满足市民就近就医需求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八、强化健康服务，努力提升公共卫生服务能力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探索以全区居民发病率降低、医疗卫生费用降低的医防融合体系考核指标，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建立</w:t>
      </w:r>
      <w:r>
        <w:rPr>
          <w:rFonts w:ascii="仿宋_GB2312" w:hAnsi="仿宋_GB2312" w:eastAsia="仿宋_GB2312" w:cs="仿宋_GB2312"/>
          <w:color w:val="000000"/>
          <w:sz w:val="32"/>
        </w:rPr>
        <w:t>与疾控、街道、社区等联防联控、群策群力工作机制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。织密应急急救网络，</w:t>
      </w:r>
      <w:r>
        <w:rPr>
          <w:rFonts w:ascii="仿宋_GB2312" w:hAnsi="仿宋_GB2312" w:eastAsia="仿宋_GB2312" w:cs="仿宋_GB2312"/>
          <w:color w:val="000000"/>
          <w:sz w:val="32"/>
        </w:rPr>
        <w:t>深化分级诊疗制度落实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</w:rPr>
        <w:t>形成可持续的便民急慢分治格局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</w:rPr>
        <w:t>提高基层社康中心首诊率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。积极培育老人健康关爱、营养改善行动等试点特色项目，做实家庭医生签约服务，深化智慧病床服务，以基</w:t>
      </w:r>
      <w:r>
        <w:rPr>
          <w:rFonts w:ascii="仿宋_GB2312" w:hAnsi="仿宋_GB2312" w:eastAsia="仿宋_GB2312" w:cs="仿宋_GB2312"/>
          <w:color w:val="000000"/>
          <w:sz w:val="32"/>
        </w:rPr>
        <w:t>层卫生岗位练兵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</w:rPr>
        <w:t>技能竞赛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</w:rPr>
        <w:t>亚专长培训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为抓手，不断提升社区卫生人员技能素质，坚持在“精、细、实”上显真章，着力为人民群众提供</w:t>
      </w:r>
      <w:r>
        <w:rPr>
          <w:rFonts w:ascii="仿宋_GB2312" w:hAnsi="仿宋_GB2312" w:eastAsia="仿宋_GB2312" w:cs="仿宋_GB2312"/>
          <w:color w:val="000000"/>
          <w:sz w:val="32"/>
        </w:rPr>
        <w:t>公平可及、质优便捷、舒适安全的基本公共卫生服务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九、履行主体责任，把党风廉政建设抓牢做实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坚持党委领导下的院长负责制，严格按照《章程》和《议事规则》办事，重大疑难事项用好会前论证机制，提升科学决策、民主监督的质量和水平，同时做到三个不间断。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做到理论学习不间断。严格落实“第一议题”制度，持续巩固深化主题教育成果，将学习调研成果转化为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抓党建促业务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的各项工作举措，形成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提质增效常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态化工作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机制。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干部队伍建设不间断。努力培养一支政治素质好、管理能力强的干部队伍，以先进高效的管理，为医院可持续发展提供有力支撑。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正风肃纪不间断。进一步压实筑牢全院党员干部职工廉洁从政意识，坚定不移把党风廉政建设和行风作风建设工作向纵深推进。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十、强化阵地建设，打造“党建+”服务品牌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坚持党建与业务“两个融合”，以公益活动、志愿服务为载体，推动发展、服务群众。深入探索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叙事医学在临床实践中的应用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，进一步推动医院医学人文的发展。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eastAsia="zh-Hans"/>
        </w:rPr>
        <w:t>完善“医心为民”书记工作室管理，为全院党支部书记和后备人才提供菜单式培训课程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eastAsia="zh-Hans"/>
        </w:rPr>
        <w:t>加强党支部之间交流分享</w:t>
      </w:r>
      <w:r>
        <w:rPr>
          <w:rFonts w:ascii="仿宋_GB2312" w:hAnsi="仿宋_GB2312" w:eastAsia="仿宋_GB2312" w:cs="仿宋_GB2312"/>
          <w:color w:val="000000"/>
          <w:spacing w:val="11"/>
          <w:sz w:val="32"/>
          <w:szCs w:val="32"/>
          <w:lang w:eastAsia="zh-Hans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组织党支部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走出去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，拓宽党建工作思路。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同时加强通讯员队伍建设，以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光明先锋、光明信息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等主流媒体为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平台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，积极参加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各级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各类党建创新案例评比活动，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进一步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提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升我院“党建+”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Hans"/>
        </w:rPr>
        <w:t>品牌影响力。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I4NmJkMGQ0ZWFhMDc0NmJlODcwZmIzZDk0NTQifQ=="/>
  </w:docVars>
  <w:rsids>
    <w:rsidRoot w:val="79B63BC7"/>
    <w:rsid w:val="01241BFF"/>
    <w:rsid w:val="11444DA7"/>
    <w:rsid w:val="305E2730"/>
    <w:rsid w:val="37DA551C"/>
    <w:rsid w:val="3B583B73"/>
    <w:rsid w:val="4EB2715D"/>
    <w:rsid w:val="51457EE2"/>
    <w:rsid w:val="79B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567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2024-01-30T00:11:00Z</dcterms:created>
  <dc:creator>赵伟红</dc:creator>
  <cp:lastModifiedBy>纯白の骑士王</cp:lastModifiedBy>
  <dcterms:modified xsi:type="dcterms:W3CDTF">2024-04-18T01:07:42Z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6B05952E3AA54F20BD3D755B5107718A_13</vt:lpwstr>
  </property>
</Properties>
</file>